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广州医科大学附属中医医院同德门诊部</w:t>
      </w:r>
    </w:p>
    <w:p>
      <w:pPr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外网防火墙采购项目技术要求</w:t>
      </w:r>
    </w:p>
    <w:p>
      <w:pPr>
        <w:jc w:val="center"/>
        <w:rPr>
          <w:rFonts w:hint="eastAsia" w:ascii="宋体" w:hAnsi="宋体" w:eastAsia="宋体" w:cs="宋体"/>
          <w:b/>
          <w:bCs/>
          <w:sz w:val="22"/>
          <w:szCs w:val="22"/>
        </w:rPr>
      </w:pPr>
    </w:p>
    <w:tbl>
      <w:tblPr>
        <w:tblStyle w:val="5"/>
        <w:tblW w:w="94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21"/>
        <w:gridCol w:w="1263"/>
        <w:gridCol w:w="7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2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项目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/>
              </w:rPr>
              <w:t>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8" w:hRule="atLeast"/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color w:val="1F2329"/>
                <w:sz w:val="22"/>
                <w:szCs w:val="22"/>
              </w:rPr>
            </w:pPr>
          </w:p>
        </w:tc>
        <w:tc>
          <w:tcPr>
            <w:tcW w:w="12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规格性能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标准1U设备，</w:t>
            </w:r>
            <w:r>
              <w:rPr>
                <w:rFonts w:hint="eastAsia" w:ascii="宋体" w:hAnsi="宋体" w:eastAsia="宋体" w:cs="宋体"/>
                <w:sz w:val="22"/>
                <w:szCs w:val="28"/>
              </w:rPr>
              <w:t>要求搭载国产化处理器和操作系统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；标配千兆电接口≥6个、千兆combo口≥2个，扩展槽数量≥2个，硬盘≥128G SSD；默认支持IPSec VPN和SSL VPN模块（200个并发用户），整机吞吐≥4Gbps，并发连接数≥400万，新建连接数2万/秒，不少于3年防病毒、入侵防御特征库升级授权，不少于3年软硬件维保服务。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系统配置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支持三个操作系统，可在Web界面完成系统备份、系统恢复、指定默认启动系统。（提供产品功能界面截图证明，并加盖公章）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支持与电磁屏蔽机柜联动，根据机柜门状态执行阻断策略、邮件告警、日志记录。（提供产品功能界面截图证明，并加盖公章）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策略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IPv4一体化安全策略配置，可以通过一条策略实现源地址/目的地址、源端口、源MAC/目的MAC、服务、时间调度、安全域、VLAN、用户/用户组、应用对象、URL对象、内容过滤、文件过滤、协议控制、病毒防护、入侵防护、威胁情报、SSL协议、数据放泄漏、审计、垃圾邮件过滤、邮件延迟审计、流量控制、流量异常检测、长连接等条件进行安全访问规则的设置。（提供产品功能界面截图证明，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IPv6一体化安全策略配置，可以通过一条策略实现源地址/目的地址、源端口、源MAC/目的MAC、服务、时间调度、安全域、VLAN、用户/用户组、应用对象、URL对象、内容过滤、文件过滤、协议控制、病毒防护、入侵防护、威胁情报、SSL协议、数据放泄漏、审计、流量控制、流量异常检测、长连接、扩展头选项等条件进行安全访问规则的设置。（提供产品功能界面截图证明，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支持基于策略的新建连接、并发连接控制。新建连接支持共享限制、每个IP限制设置，并发连接支持共享限制、每个IP限制、应用连接、每IP应用连接设置。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支持策略命中数显示，并支持在命中策略中按动作、策略名、源地址、目的地址、源/目的地址、源端口、目的端口、协议、关键字、时间范围进行查询。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支持IPv6安全规则配置，并支持扩展头选项设置，包含逐跳选项报头、目的选项报头、路由报头、分段报头、认证报头、扩展头数量超出、扩展头乱序、流标签非零。（提供产品功能界面截图证明，并加盖公章）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支持策略匹配度分析，可以对策略的匹配进行分析和比较，通过匹配程度快速定位低效策略，进行干预。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访问控制规则支持引用威胁情报策略，可设置TCP-OPTION检查、X-Forwarded-For检查、非中国大陆地区地址检查，并记录相关日志。（提供产品功能界面截图证明，并加盖公章）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服务器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防护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支持流量自学习功能，支持学习时间设置；（提供相关功能截图证明并加盖公章）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入侵防护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支持基于策略的入侵检测与防护，可针对不同的源目IP地址、源端口、源目MAC地址、服务、服务器、时间、安全域、用户、用户组、VLAN等，采用不同的入侵防护策略。（提供相关功能截图证明并加盖公章）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支持根据特征名称、攻击类型、协议类型、操作系统、来源、严重程度、影响软件、发布年份、流行程度等分类对IPS特征库特征信息进行查询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greGRE接口镜像数据发给远端设备；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支持细粒度的自定义IPS特征功能，支持自定义事件严重性（包括低、中、高、严重、致命等）、源端口、目的端口、应用协议、CNNVD编号、CVEID编号；（提供产品功能界面截图证明，并加盖公章）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支持对入侵防护事件进行二次统计，支持检查事件、事件次数、操作符、源IP、目的IP、源端口、目的端口、组、等级、动作、阻断时间等进行设置。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入侵防护引擎检测模式设置，包括智能检测或深度检测。可对数据采取不同的处理模式，包括应用优先或安全优先两种模式，用户可根据实际需求灵活选择。（提供具有CMA标识的第三方检测机构出具的检测报告复印件并加盖投标人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恶意样本检测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支持恶意样本检测，并提供实时检测、空闲检测两种模式，空闲检测模式自定义设定开始、结束时间。（提供产品功能界面截图证明，并加盖公章）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攻击防护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支持主流ICMPFLOOD\SYNFLOOD\ACKFLOOD\UDPFLOOD\IPFLOOD\NDPFLOOD\TCPFLOOD\RSTFLOOD\FINFLOOD\NTPFLOOD\DNSIPFLOOD\HTTPIPFLOOD攻击防护，采用专业高效攻击防护算法，并非简单的阈值进行攻击防护。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支持抗地址欺骗攻击、抗源路由攻击、抗Smurf攻击、抗LAND攻击、抗Winnuke攻击、抗Queso扫描、抗SYN/FIN扫描、抗NULL扫描、抗圣诞树攻击、抗FIN扫描、抗Fraggle攻击、抗Teardrop攻击、Ping of death、抗Jolt2攻击、抗Targa3攻击、抗TCP Split Handshake攻击、抗记录路由攻击。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web界面下对攻击流量进行抓包分析，可以自定义抓包参数配置，包括最大包长、报文数量、抓包时间及采集率等基本参数；支持根据协议、源IP、目的IP、端口参数进行数据报文过滤。（提供产品功能界面截图证明，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WEB应用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防护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支持Web应用防护，内置3种防护模板且支持自定义特征；（提供相关功能截图证明并加盖公章）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支持针对HTTP、HTTPS应用的URL控制、网页防篡改、请求体检测、web表单关键字过滤、文件上传限制、外链防护、盗链防护、CSRF攻击防护、爬虫等WEB安全防护能力。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数据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防泄漏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数据防泄漏功能，支持身份证号、中国台湾身份证号、中国香港身份证号、中国澳门身份证号、护照号、银行卡号、手机号等进行敏感信息检测，并可进行字符替换。（提供具有CMA标识的第三方检测机构出具的检测报告复印件并加盖投标人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用户管理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支持对自动探测的结果以IP地址或计算机名称进行命名，同时进行IP、IP&amp;MAC绑定。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系统监控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流量诊断功能，对网络故障进行查询和定位，支持丢包统计，支持展示丢包总数、状态检测丢包数、路由丢包数、安全策略丢包数、源NAT丢包数、目的mac丢包数、三层校验丢包数、四层校验丢包数、ARP学习丢包数、TTL丢包数。（提供具有CMA标识的第三方检测机构出具的检测报告复印件并加盖投标人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告警管理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支持分级告警，支持SNMP Trap和邮件、声音等告警方式。支持多维度预定义告警设置，包括病毒事件、攻击事件、配置变更、异常事件、启动事件、健康检查、CPU温度、风扇转速、机箱温度、NAT端口池利用率、CPU使用率、内存使用率、磁盘使用率、磁盘利用率、新建会话数、并发会话数等，支持多种告警设置组合使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72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6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态势感知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联动</w:t>
            </w:r>
          </w:p>
        </w:tc>
        <w:tc>
          <w:tcPr>
            <w:tcW w:w="745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jc w:val="left"/>
              <w:rPr>
                <w:rFonts w:hint="eastAsia" w:ascii="宋体" w:hAnsi="宋体" w:eastAsia="宋体" w:cs="宋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>产品需支持与第三方的态势感知平台联动，支持将防火墙产品产生的安全告警日志数据通过SYSLOG协议发送至第三方态势感知平台。(需提供产品功能截图证明加盖公章)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041AD5"/>
    <w:multiLevelType w:val="singleLevel"/>
    <w:tmpl w:val="29041AD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NTVkNzA5ZjY5YjMwZjc5MDQ2ZjhkMGVhOGUxMGMifQ=="/>
  </w:docVars>
  <w:rsids>
    <w:rsidRoot w:val="00D91CC1"/>
    <w:rsid w:val="00047C52"/>
    <w:rsid w:val="001920FD"/>
    <w:rsid w:val="00C4683F"/>
    <w:rsid w:val="00D91CC1"/>
    <w:rsid w:val="01610122"/>
    <w:rsid w:val="038500F8"/>
    <w:rsid w:val="04F574FF"/>
    <w:rsid w:val="153D7F62"/>
    <w:rsid w:val="1CCA5118"/>
    <w:rsid w:val="23CD36CA"/>
    <w:rsid w:val="26D62C28"/>
    <w:rsid w:val="27AB5EFC"/>
    <w:rsid w:val="2A3208FA"/>
    <w:rsid w:val="2C98683F"/>
    <w:rsid w:val="346E6AE3"/>
    <w:rsid w:val="375F68D7"/>
    <w:rsid w:val="37F05556"/>
    <w:rsid w:val="38F82B3F"/>
    <w:rsid w:val="39167469"/>
    <w:rsid w:val="41F30347"/>
    <w:rsid w:val="4BC66911"/>
    <w:rsid w:val="50265D8C"/>
    <w:rsid w:val="5BC671A5"/>
    <w:rsid w:val="66400323"/>
    <w:rsid w:val="6821590E"/>
    <w:rsid w:val="6A7774B8"/>
    <w:rsid w:val="6C1E374D"/>
    <w:rsid w:val="6C4B3A16"/>
    <w:rsid w:val="764226ED"/>
    <w:rsid w:val="7A88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2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81"/>
    <w:basedOn w:val="7"/>
    <w:qFormat/>
    <w:uiPriority w:val="0"/>
    <w:rPr>
      <w:rFonts w:hint="eastAsia" w:ascii="微软雅黑 Light" w:hAnsi="微软雅黑 Light" w:eastAsia="微软雅黑 Light" w:cs="微软雅黑 Light"/>
      <w:color w:val="00B0F0"/>
      <w:sz w:val="20"/>
      <w:szCs w:val="20"/>
      <w:u w:val="none"/>
    </w:rPr>
  </w:style>
  <w:style w:type="character" w:customStyle="1" w:styleId="9">
    <w:name w:val="font41"/>
    <w:basedOn w:val="7"/>
    <w:qFormat/>
    <w:uiPriority w:val="0"/>
    <w:rPr>
      <w:rFonts w:hint="eastAsia" w:ascii="微软雅黑 Light" w:hAnsi="微软雅黑 Light" w:eastAsia="微软雅黑 Light" w:cs="微软雅黑 Light"/>
      <w:color w:val="7F3BF5"/>
      <w:sz w:val="20"/>
      <w:szCs w:val="20"/>
      <w:u w:val="none"/>
    </w:rPr>
  </w:style>
  <w:style w:type="character" w:customStyle="1" w:styleId="10">
    <w:name w:val="font91"/>
    <w:basedOn w:val="7"/>
    <w:qFormat/>
    <w:uiPriority w:val="0"/>
    <w:rPr>
      <w:rFonts w:hint="eastAsia" w:ascii="微软雅黑 Light" w:hAnsi="微软雅黑 Light" w:eastAsia="微软雅黑 Light" w:cs="微软雅黑 Light"/>
      <w:color w:val="FF0000"/>
      <w:sz w:val="20"/>
      <w:szCs w:val="20"/>
      <w:u w:val="none"/>
    </w:rPr>
  </w:style>
  <w:style w:type="character" w:customStyle="1" w:styleId="11">
    <w:name w:val="font101"/>
    <w:basedOn w:val="7"/>
    <w:qFormat/>
    <w:uiPriority w:val="0"/>
    <w:rPr>
      <w:rFonts w:hint="eastAsia" w:ascii="微软雅黑 Light" w:hAnsi="微软雅黑 Light" w:eastAsia="微软雅黑 Light" w:cs="微软雅黑 Light"/>
      <w:color w:val="000000"/>
      <w:sz w:val="20"/>
      <w:szCs w:val="20"/>
      <w:u w:val="none"/>
    </w:rPr>
  </w:style>
  <w:style w:type="character" w:customStyle="1" w:styleId="12">
    <w:name w:val="font111"/>
    <w:basedOn w:val="7"/>
    <w:qFormat/>
    <w:uiPriority w:val="0"/>
    <w:rPr>
      <w:rFonts w:hint="eastAsia" w:ascii="微软雅黑 Light" w:hAnsi="微软雅黑 Light" w:eastAsia="微软雅黑 Light" w:cs="微软雅黑 Light"/>
      <w:b/>
      <w:bCs/>
      <w:color w:val="000000"/>
      <w:sz w:val="20"/>
      <w:szCs w:val="20"/>
      <w:u w:val="none"/>
    </w:rPr>
  </w:style>
  <w:style w:type="character" w:customStyle="1" w:styleId="13">
    <w:name w:val="font121"/>
    <w:basedOn w:val="7"/>
    <w:qFormat/>
    <w:uiPriority w:val="0"/>
    <w:rPr>
      <w:rFonts w:hint="eastAsia" w:ascii="微软雅黑 Light" w:hAnsi="微软雅黑 Light" w:eastAsia="微软雅黑 Light" w:cs="微软雅黑 Light"/>
      <w:b/>
      <w:bCs/>
      <w:color w:val="00B0F0"/>
      <w:sz w:val="20"/>
      <w:szCs w:val="20"/>
      <w:u w:val="none"/>
    </w:rPr>
  </w:style>
  <w:style w:type="character" w:customStyle="1" w:styleId="14">
    <w:name w:val="font51"/>
    <w:basedOn w:val="7"/>
    <w:qFormat/>
    <w:uiPriority w:val="0"/>
    <w:rPr>
      <w:rFonts w:hint="eastAsia" w:ascii="微软雅黑 Light" w:hAnsi="微软雅黑 Light" w:eastAsia="微软雅黑 Light" w:cs="微软雅黑 Light"/>
      <w:color w:val="000000"/>
      <w:sz w:val="20"/>
      <w:szCs w:val="20"/>
      <w:u w:val="none"/>
    </w:rPr>
  </w:style>
  <w:style w:type="character" w:customStyle="1" w:styleId="15">
    <w:name w:val="font71"/>
    <w:basedOn w:val="7"/>
    <w:qFormat/>
    <w:uiPriority w:val="0"/>
    <w:rPr>
      <w:rFonts w:hint="eastAsia" w:ascii="微软雅黑 Light" w:hAnsi="微软雅黑 Light" w:eastAsia="微软雅黑 Light" w:cs="微软雅黑 Light"/>
      <w:color w:val="000000"/>
      <w:sz w:val="20"/>
      <w:szCs w:val="20"/>
      <w:u w:val="none"/>
    </w:rPr>
  </w:style>
  <w:style w:type="character" w:customStyle="1" w:styleId="16">
    <w:name w:val="font61"/>
    <w:basedOn w:val="7"/>
    <w:qFormat/>
    <w:uiPriority w:val="0"/>
    <w:rPr>
      <w:rFonts w:hint="eastAsia" w:ascii="微软雅黑 Light" w:hAnsi="微软雅黑 Light" w:eastAsia="微软雅黑 Light" w:cs="微软雅黑 Light"/>
      <w:color w:val="000000"/>
      <w:sz w:val="20"/>
      <w:szCs w:val="20"/>
      <w:u w:val="none"/>
    </w:rPr>
  </w:style>
  <w:style w:type="character" w:customStyle="1" w:styleId="17">
    <w:name w:val="font131"/>
    <w:basedOn w:val="7"/>
    <w:qFormat/>
    <w:uiPriority w:val="0"/>
    <w:rPr>
      <w:rFonts w:hint="eastAsia" w:ascii="微软雅黑 Light" w:hAnsi="微软雅黑 Light" w:eastAsia="微软雅黑 Light" w:cs="微软雅黑 Light"/>
      <w:color w:val="14C0FF"/>
      <w:sz w:val="20"/>
      <w:szCs w:val="20"/>
      <w:u w:val="none"/>
    </w:rPr>
  </w:style>
  <w:style w:type="character" w:customStyle="1" w:styleId="18">
    <w:name w:val="font141"/>
    <w:basedOn w:val="7"/>
    <w:qFormat/>
    <w:uiPriority w:val="0"/>
    <w:rPr>
      <w:rFonts w:hint="eastAsia" w:ascii="微软雅黑 Light" w:hAnsi="微软雅黑 Light" w:eastAsia="微软雅黑 Light" w:cs="微软雅黑 Light"/>
      <w:color w:val="0563C1"/>
      <w:sz w:val="20"/>
      <w:szCs w:val="20"/>
      <w:u w:val="single"/>
    </w:rPr>
  </w:style>
  <w:style w:type="character" w:customStyle="1" w:styleId="19">
    <w:name w:val="font151"/>
    <w:basedOn w:val="7"/>
    <w:qFormat/>
    <w:uiPriority w:val="0"/>
    <w:rPr>
      <w:rFonts w:hint="eastAsia" w:ascii="微软雅黑 Light" w:hAnsi="微软雅黑 Light" w:eastAsia="微软雅黑 Light" w:cs="微软雅黑 Light"/>
      <w:b/>
      <w:bCs/>
      <w:color w:val="00B0F0"/>
      <w:sz w:val="20"/>
      <w:szCs w:val="20"/>
      <w:u w:val="none"/>
    </w:rPr>
  </w:style>
  <w:style w:type="character" w:customStyle="1" w:styleId="20">
    <w:name w:val="font112"/>
    <w:basedOn w:val="7"/>
    <w:qFormat/>
    <w:uiPriority w:val="0"/>
    <w:rPr>
      <w:rFonts w:hint="eastAsia" w:ascii="微软雅黑 Light" w:hAnsi="微软雅黑 Light" w:eastAsia="微软雅黑 Light" w:cs="微软雅黑 Light"/>
      <w:color w:val="EE0000"/>
      <w:sz w:val="20"/>
      <w:szCs w:val="20"/>
      <w:u w:val="none"/>
    </w:rPr>
  </w:style>
  <w:style w:type="paragraph" w:styleId="21">
    <w:name w:val="List Paragraph"/>
    <w:basedOn w:val="1"/>
    <w:qFormat/>
    <w:uiPriority w:val="34"/>
    <w:pPr>
      <w:ind w:left="720"/>
      <w:contextualSpacing/>
    </w:pPr>
    <w:rPr>
      <w:szCs w:val="22"/>
      <w14:ligatures w14:val="standardContextual"/>
    </w:rPr>
  </w:style>
  <w:style w:type="character" w:customStyle="1" w:styleId="22">
    <w:name w:val="font21"/>
    <w:basedOn w:val="7"/>
    <w:qFormat/>
    <w:uiPriority w:val="0"/>
    <w:rPr>
      <w:rFonts w:hint="eastAsia" w:ascii="微软雅黑" w:hAnsi="微软雅黑" w:eastAsia="微软雅黑" w:cs="微软雅黑"/>
      <w:color w:val="000000"/>
      <w:sz w:val="24"/>
      <w:szCs w:val="24"/>
      <w:u w:val="none"/>
    </w:rPr>
  </w:style>
  <w:style w:type="paragraph" w:customStyle="1" w:styleId="23">
    <w:name w:val="表正文"/>
    <w:basedOn w:val="1"/>
    <w:qFormat/>
    <w:uiPriority w:val="0"/>
    <w:pPr>
      <w:jc w:val="left"/>
    </w:pPr>
    <w:rPr>
      <w:rFonts w:ascii="Arial" w:hAnsi="Arial" w:eastAsia="宋体"/>
      <w:sz w:val="18"/>
      <w:szCs w:val="21"/>
    </w:rPr>
  </w:style>
  <w:style w:type="character" w:customStyle="1" w:styleId="24">
    <w:name w:val="font1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2400</Words>
  <Characters>2759</Characters>
  <Lines>20</Lines>
  <Paragraphs>5</Paragraphs>
  <TotalTime>21</TotalTime>
  <ScaleCrop>false</ScaleCrop>
  <LinksUpToDate>false</LinksUpToDate>
  <CharactersWithSpaces>2767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2026-10-10T08:01:00Z</dcterms:created>
  <dc:creator>18613</dc:creator>
  <cp:lastModifiedBy>张皓津</cp:lastModifiedBy>
  <dcterms:modified xsi:type="dcterms:W3CDTF">2026-10-21T09:08:31Z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KSOTemplateDocerSaveRecord">
    <vt:lpwstr>eyJoZGlkIjoiNDllMDg3MDkyODJmM2UzYjdmOWIwZjcxYmJmMTJjMzYiLCJ1c2VySWQiOiIzODQ1NjU2OTEifQ==</vt:lpwstr>
  </property>
  <property fmtid="{D5CDD505-2E9C-101B-9397-08002B2CF9AE}" pid="4" name="ICV">
    <vt:lpwstr>D94B20DCB026470F8255C5794C169A97_12</vt:lpwstr>
  </property>
</Properties>
</file>