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5DD22">
      <w:pPr>
        <w:spacing w:before="0" w:beforeLines="0" w:after="0" w:afterLines="0"/>
        <w:jc w:val="center"/>
        <w:rPr>
          <w:rFonts w:eastAsia="黑体"/>
          <w:b/>
          <w:color w:val="auto"/>
          <w:sz w:val="44"/>
          <w:szCs w:val="44"/>
          <w:highlight w:val="none"/>
        </w:rPr>
      </w:pPr>
    </w:p>
    <w:p w14:paraId="1D9161DB">
      <w:pPr>
        <w:pStyle w:val="33"/>
        <w:numPr>
          <w:ilvl w:val="0"/>
          <w:numId w:val="0"/>
        </w:numPr>
        <w:spacing w:before="0" w:beforeLines="0" w:after="0" w:afterLines="0" w:line="360" w:lineRule="auto"/>
        <w:ind w:left="840"/>
        <w:rPr>
          <w:color w:val="auto"/>
          <w:highlight w:val="none"/>
        </w:rPr>
      </w:pPr>
    </w:p>
    <w:p w14:paraId="6D63D5D0">
      <w:pPr>
        <w:pStyle w:val="15"/>
        <w:spacing w:before="0" w:beforeLines="0" w:after="0" w:afterLines="0"/>
        <w:rPr>
          <w:color w:val="auto"/>
          <w:highlight w:val="none"/>
        </w:rPr>
      </w:pPr>
    </w:p>
    <w:p w14:paraId="2A0E82CD">
      <w:pPr>
        <w:pStyle w:val="16"/>
        <w:spacing w:before="0" w:beforeLines="0" w:after="0" w:afterLines="0"/>
        <w:rPr>
          <w:color w:val="auto"/>
          <w:highlight w:val="none"/>
        </w:rPr>
      </w:pPr>
    </w:p>
    <w:p w14:paraId="09BCBE3B">
      <w:pPr>
        <w:pStyle w:val="15"/>
        <w:spacing w:before="0" w:beforeLines="0" w:after="0" w:afterLines="0"/>
        <w:rPr>
          <w:color w:val="auto"/>
          <w:highlight w:val="none"/>
        </w:rPr>
      </w:pPr>
    </w:p>
    <w:p w14:paraId="28DA830D">
      <w:pPr>
        <w:spacing w:before="0" w:beforeLines="0" w:after="0" w:afterLines="0"/>
        <w:jc w:val="center"/>
        <w:rPr>
          <w:rFonts w:hint="default" w:eastAsia="黑体"/>
          <w:b/>
          <w:color w:val="auto"/>
          <w:sz w:val="44"/>
          <w:szCs w:val="44"/>
          <w:highlight w:val="none"/>
          <w:lang w:val="en-US" w:eastAsia="zh-CN"/>
        </w:rPr>
      </w:pPr>
      <w:r>
        <w:rPr>
          <w:rFonts w:hint="eastAsia" w:eastAsia="黑体"/>
          <w:b/>
          <w:color w:val="auto"/>
          <w:sz w:val="44"/>
          <w:szCs w:val="44"/>
          <w:highlight w:val="none"/>
        </w:rPr>
        <w:t>VTE智能防治管理系统</w:t>
      </w:r>
      <w:r>
        <w:rPr>
          <w:rFonts w:hint="eastAsia" w:eastAsia="黑体"/>
          <w:b/>
          <w:color w:val="auto"/>
          <w:sz w:val="44"/>
          <w:szCs w:val="44"/>
          <w:highlight w:val="none"/>
          <w:lang w:val="en-US" w:eastAsia="zh-CN"/>
        </w:rPr>
        <w:t>需求</w:t>
      </w:r>
    </w:p>
    <w:p w14:paraId="61E2443D">
      <w:pPr>
        <w:spacing w:before="0" w:beforeLines="0" w:after="0" w:afterLines="0"/>
        <w:jc w:val="center"/>
        <w:rPr>
          <w:rFonts w:eastAsia="黑体"/>
          <w:b/>
          <w:color w:val="auto"/>
          <w:sz w:val="44"/>
          <w:szCs w:val="44"/>
          <w:highlight w:val="none"/>
        </w:rPr>
      </w:pPr>
    </w:p>
    <w:p w14:paraId="4060D30B">
      <w:pPr>
        <w:spacing w:before="0" w:beforeLines="0" w:after="0" w:afterLines="0"/>
        <w:jc w:val="center"/>
        <w:rPr>
          <w:rFonts w:eastAsia="黑体"/>
          <w:b/>
          <w:color w:val="auto"/>
          <w:sz w:val="44"/>
          <w:szCs w:val="44"/>
          <w:highlight w:val="none"/>
        </w:rPr>
      </w:pPr>
    </w:p>
    <w:p w14:paraId="5D8D22A3">
      <w:pPr>
        <w:spacing w:before="0" w:beforeLines="0" w:after="0" w:afterLines="0"/>
        <w:jc w:val="center"/>
        <w:rPr>
          <w:rFonts w:eastAsia="黑体"/>
          <w:b/>
          <w:color w:val="auto"/>
          <w:sz w:val="44"/>
          <w:szCs w:val="44"/>
          <w:highlight w:val="none"/>
        </w:rPr>
      </w:pPr>
    </w:p>
    <w:p w14:paraId="0A76B8A9">
      <w:pPr>
        <w:spacing w:before="0" w:beforeLines="0" w:after="0" w:afterLines="0"/>
        <w:jc w:val="center"/>
        <w:rPr>
          <w:rFonts w:eastAsia="黑体"/>
          <w:b/>
          <w:color w:val="auto"/>
          <w:sz w:val="44"/>
          <w:szCs w:val="44"/>
          <w:highlight w:val="none"/>
        </w:rPr>
      </w:pPr>
    </w:p>
    <w:p w14:paraId="0796DF06">
      <w:pPr>
        <w:spacing w:before="0" w:beforeLines="0" w:after="0" w:afterLines="0"/>
        <w:jc w:val="center"/>
        <w:rPr>
          <w:rFonts w:eastAsia="黑体"/>
          <w:b/>
          <w:color w:val="auto"/>
          <w:sz w:val="44"/>
          <w:szCs w:val="44"/>
          <w:highlight w:val="none"/>
        </w:rPr>
      </w:pPr>
    </w:p>
    <w:p w14:paraId="0AEEF8FA">
      <w:pPr>
        <w:spacing w:before="0" w:beforeLines="0" w:after="0" w:afterLines="0"/>
        <w:rPr>
          <w:color w:val="auto"/>
          <w:highlight w:val="none"/>
        </w:rPr>
      </w:pPr>
      <w:r>
        <w:rPr>
          <w:rFonts w:hint="eastAsia"/>
          <w:color w:val="auto"/>
          <w:highlight w:val="none"/>
          <w:lang w:eastAsia="zh-Hans"/>
        </w:rPr>
        <w:br w:type="page"/>
      </w:r>
    </w:p>
    <w:p w14:paraId="480AEE4C">
      <w:pPr>
        <w:pStyle w:val="2"/>
        <w:spacing w:before="0" w:beforeLines="0" w:after="0" w:afterLines="0" w:line="360" w:lineRule="auto"/>
        <w:rPr>
          <w:color w:val="auto"/>
          <w:highlight w:val="none"/>
        </w:rPr>
      </w:pPr>
      <w:r>
        <w:rPr>
          <w:rFonts w:hint="eastAsia"/>
          <w:color w:val="auto"/>
          <w:highlight w:val="none"/>
        </w:rPr>
        <w:t>技术能力</w:t>
      </w:r>
      <w:r>
        <w:rPr>
          <w:rFonts w:hint="eastAsia"/>
          <w:color w:val="auto"/>
          <w:highlight w:val="none"/>
          <w:lang w:eastAsia="zh-Hans"/>
        </w:rPr>
        <w:t>要求</w:t>
      </w:r>
    </w:p>
    <w:p w14:paraId="6664AF40">
      <w:pPr>
        <w:numPr>
          <w:ilvl w:val="0"/>
          <w:numId w:val="4"/>
        </w:numPr>
        <w:spacing w:before="0" w:beforeLines="0" w:after="0" w:afterLines="0"/>
        <w:rPr>
          <w:color w:val="auto"/>
          <w:highlight w:val="none"/>
        </w:rPr>
      </w:pPr>
      <w:r>
        <w:rPr>
          <w:rFonts w:hint="eastAsia"/>
          <w:color w:val="auto"/>
          <w:highlight w:val="none"/>
          <w:lang w:val="en-US" w:eastAsia="zh-CN"/>
        </w:rPr>
        <w:t>系统</w:t>
      </w:r>
      <w:r>
        <w:rPr>
          <w:rFonts w:hint="eastAsia"/>
          <w:color w:val="auto"/>
          <w:highlight w:val="none"/>
        </w:rPr>
        <w:t>安全要求：要求</w:t>
      </w:r>
      <w:r>
        <w:rPr>
          <w:color w:val="auto"/>
          <w:highlight w:val="none"/>
        </w:rPr>
        <w:t>系统在院内部署，所有数据均存储在院内</w:t>
      </w:r>
      <w:r>
        <w:rPr>
          <w:rFonts w:hint="eastAsia"/>
          <w:color w:val="auto"/>
          <w:highlight w:val="none"/>
        </w:rPr>
        <w:t>，系统需保障数据安全</w:t>
      </w:r>
      <w:r>
        <w:rPr>
          <w:rFonts w:hint="eastAsia"/>
          <w:color w:val="auto"/>
          <w:highlight w:val="none"/>
          <w:lang w:eastAsia="zh-CN"/>
        </w:rPr>
        <w:t>；系统建设必须达到《信息安全技术信息系统安全等级保护基本要求》三级或以上要求；</w:t>
      </w:r>
      <w:r>
        <w:rPr>
          <w:rFonts w:hint="eastAsia"/>
          <w:color w:val="auto"/>
          <w:highlight w:val="none"/>
          <w:lang w:val="en-US" w:eastAsia="zh-CN"/>
        </w:rPr>
        <w:t>系统部署以及运维期间需免费配合医院完成安全测评以及整改工作</w:t>
      </w:r>
      <w:r>
        <w:rPr>
          <w:rFonts w:hint="eastAsia"/>
          <w:color w:val="auto"/>
          <w:highlight w:val="none"/>
        </w:rPr>
        <w:t>。</w:t>
      </w:r>
    </w:p>
    <w:p w14:paraId="7BF70D83">
      <w:pPr>
        <w:numPr>
          <w:ilvl w:val="0"/>
          <w:numId w:val="4"/>
        </w:numPr>
        <w:spacing w:before="0" w:beforeLines="0" w:after="0" w:afterLines="0"/>
        <w:rPr>
          <w:color w:val="auto"/>
          <w:highlight w:val="none"/>
        </w:rPr>
      </w:pPr>
      <w:r>
        <w:rPr>
          <w:rFonts w:hint="eastAsia"/>
          <w:color w:val="auto"/>
          <w:highlight w:val="none"/>
        </w:rPr>
        <w:t>系统兼容性要求：系统需要兼容Windows各版本</w:t>
      </w:r>
      <w:r>
        <w:rPr>
          <w:rFonts w:hint="eastAsia"/>
          <w:color w:val="auto"/>
          <w:highlight w:val="none"/>
          <w:lang w:val="en-US" w:eastAsia="zh-CN"/>
        </w:rPr>
        <w:t>操作</w:t>
      </w:r>
      <w:r>
        <w:rPr>
          <w:rFonts w:hint="eastAsia"/>
          <w:color w:val="auto"/>
          <w:highlight w:val="none"/>
        </w:rPr>
        <w:t>系统</w:t>
      </w:r>
      <w:r>
        <w:rPr>
          <w:rFonts w:hint="eastAsia"/>
          <w:color w:val="auto"/>
          <w:highlight w:val="none"/>
          <w:lang w:eastAsia="zh-CN"/>
        </w:rPr>
        <w:t>（</w:t>
      </w:r>
      <w:r>
        <w:rPr>
          <w:rFonts w:hint="eastAsia"/>
          <w:color w:val="auto"/>
          <w:highlight w:val="none"/>
        </w:rPr>
        <w:t>包括Windows XP/7/8/10/11等</w:t>
      </w:r>
      <w:r>
        <w:rPr>
          <w:rFonts w:hint="eastAsia"/>
          <w:color w:val="auto"/>
          <w:highlight w:val="none"/>
          <w:lang w:eastAsia="zh-CN"/>
        </w:rPr>
        <w:t>）；系统</w:t>
      </w:r>
      <w:r>
        <w:rPr>
          <w:rFonts w:hint="eastAsia"/>
          <w:color w:val="auto"/>
          <w:highlight w:val="none"/>
          <w:lang w:val="en-US" w:eastAsia="zh-CN"/>
        </w:rPr>
        <w:t>部署</w:t>
      </w:r>
      <w:r>
        <w:rPr>
          <w:rFonts w:hint="eastAsia"/>
          <w:color w:val="auto"/>
          <w:highlight w:val="none"/>
          <w:lang w:eastAsia="zh-CN"/>
        </w:rPr>
        <w:t>需符合自主可控替代、信息技术应用创新要求，符合国产化、信创要求</w:t>
      </w:r>
      <w:r>
        <w:rPr>
          <w:rFonts w:hint="eastAsia"/>
          <w:color w:val="auto"/>
          <w:highlight w:val="none"/>
        </w:rPr>
        <w:t>。</w:t>
      </w:r>
    </w:p>
    <w:p w14:paraId="396EF7EC">
      <w:pPr>
        <w:numPr>
          <w:ilvl w:val="0"/>
          <w:numId w:val="4"/>
        </w:numPr>
        <w:spacing w:before="0" w:beforeLines="0" w:after="0" w:afterLines="0"/>
        <w:rPr>
          <w:color w:val="auto"/>
          <w:highlight w:val="none"/>
        </w:rPr>
      </w:pPr>
      <w:r>
        <w:rPr>
          <w:rFonts w:hint="eastAsia"/>
          <w:color w:val="auto"/>
          <w:highlight w:val="none"/>
          <w:lang w:val="en-US" w:eastAsia="zh-CN"/>
        </w:rPr>
        <w:t>系统数据对接要求：系统部署以及运维期间</w:t>
      </w:r>
      <w:r>
        <w:rPr>
          <w:rFonts w:hint="default" w:ascii="Times New Roman" w:hAnsi="Times New Roman" w:cs="Times New Roman"/>
          <w:color w:val="auto"/>
          <w:kern w:val="0"/>
          <w:sz w:val="24"/>
          <w:highlight w:val="none"/>
          <w:lang w:val="en-US" w:eastAsia="zh-CN"/>
        </w:rPr>
        <w:t>免费与医院将会关联</w:t>
      </w:r>
      <w:r>
        <w:rPr>
          <w:rFonts w:hint="default" w:ascii="Times New Roman" w:hAnsi="Times New Roman" w:eastAsia="宋体" w:cs="Times New Roman"/>
          <w:color w:val="auto"/>
          <w:kern w:val="0"/>
          <w:sz w:val="24"/>
          <w:szCs w:val="24"/>
          <w:highlight w:val="none"/>
          <w:lang w:val="en-US" w:eastAsia="zh-CN"/>
        </w:rPr>
        <w:t>的硬件设备及</w:t>
      </w:r>
      <w:r>
        <w:rPr>
          <w:rFonts w:hint="default" w:ascii="Times New Roman" w:hAnsi="Times New Roman" w:cs="Times New Roman"/>
          <w:color w:val="auto"/>
          <w:kern w:val="0"/>
          <w:sz w:val="24"/>
          <w:highlight w:val="none"/>
          <w:lang w:val="en-US" w:eastAsia="zh-CN"/>
        </w:rPr>
        <w:t>信息系统（如：HIS、</w:t>
      </w:r>
      <w:r>
        <w:rPr>
          <w:rFonts w:hint="default" w:ascii="Times New Roman" w:hAnsi="Times New Roman" w:eastAsia="Segoe UI" w:cs="Times New Roman"/>
          <w:i w:val="0"/>
          <w:iCs w:val="0"/>
          <w:caps w:val="0"/>
          <w:color w:val="auto"/>
          <w:spacing w:val="0"/>
          <w:kern w:val="2"/>
          <w:sz w:val="24"/>
          <w:szCs w:val="24"/>
          <w:highlight w:val="none"/>
          <w:shd w:val="clear" w:color="auto" w:fill="FFFFFF"/>
          <w:lang w:val="en-US" w:eastAsia="zh-CN" w:bidi="ar-SA"/>
        </w:rPr>
        <w:t>EMR</w:t>
      </w:r>
      <w:r>
        <w:rPr>
          <w:rFonts w:hint="eastAsia" w:ascii="Times New Roman" w:hAnsi="Times New Roman" w:eastAsia="Segoe UI" w:cs="Times New Roman"/>
          <w:i w:val="0"/>
          <w:iCs w:val="0"/>
          <w:caps w:val="0"/>
          <w:color w:val="auto"/>
          <w:spacing w:val="0"/>
          <w:kern w:val="2"/>
          <w:sz w:val="24"/>
          <w:szCs w:val="24"/>
          <w:highlight w:val="none"/>
          <w:shd w:val="clear" w:color="auto" w:fill="FFFFFF"/>
          <w:lang w:val="en-US" w:eastAsia="zh-CN" w:bidi="ar-SA"/>
        </w:rPr>
        <w:t>、</w:t>
      </w:r>
      <w:r>
        <w:rPr>
          <w:rFonts w:hint="default" w:ascii="Times New Roman" w:hAnsi="Times New Roman" w:eastAsia="宋体" w:cs="Times New Roman"/>
          <w:color w:val="auto"/>
          <w:kern w:val="0"/>
          <w:sz w:val="24"/>
          <w:szCs w:val="24"/>
          <w:highlight w:val="none"/>
          <w:lang w:val="en-US" w:eastAsia="zh-CN"/>
        </w:rPr>
        <w:t>NIS、CIS、</w:t>
      </w:r>
      <w:r>
        <w:rPr>
          <w:rFonts w:hint="default" w:ascii="Times New Roman" w:hAnsi="Times New Roman" w:cs="Times New Roman"/>
          <w:color w:val="auto"/>
          <w:kern w:val="0"/>
          <w:sz w:val="24"/>
          <w:highlight w:val="none"/>
          <w:lang w:val="en-US" w:eastAsia="zh-CN"/>
        </w:rPr>
        <w:t>LIS、PACS系统等）</w:t>
      </w:r>
      <w:r>
        <w:rPr>
          <w:rFonts w:hint="default" w:ascii="Times New Roman" w:hAnsi="Times New Roman" w:eastAsia="宋体" w:cs="Times New Roman"/>
          <w:color w:val="auto"/>
          <w:kern w:val="0"/>
          <w:sz w:val="24"/>
          <w:szCs w:val="24"/>
          <w:highlight w:val="none"/>
          <w:lang w:val="zh-CN"/>
        </w:rPr>
        <w:t>进行采集和对接（对接方式基本</w:t>
      </w:r>
      <w:r>
        <w:rPr>
          <w:rFonts w:hint="default" w:ascii="Times New Roman" w:hAnsi="Times New Roman" w:eastAsia="宋体" w:cs="Times New Roman"/>
          <w:color w:val="auto"/>
          <w:kern w:val="0"/>
          <w:sz w:val="24"/>
          <w:szCs w:val="24"/>
          <w:highlight w:val="none"/>
          <w:lang w:val="en-US" w:eastAsia="zh-CN"/>
        </w:rPr>
        <w:t>采用</w:t>
      </w:r>
      <w:r>
        <w:rPr>
          <w:rFonts w:hint="default" w:ascii="Times New Roman" w:hAnsi="Times New Roman" w:eastAsia="宋体" w:cs="Times New Roman"/>
          <w:color w:val="auto"/>
          <w:kern w:val="0"/>
          <w:sz w:val="24"/>
          <w:szCs w:val="24"/>
          <w:highlight w:val="none"/>
          <w:lang w:val="zh-CN"/>
        </w:rPr>
        <w:t>医院集成平台方式）</w:t>
      </w:r>
      <w:r>
        <w:rPr>
          <w:rFonts w:hint="eastAsia" w:ascii="Times New Roman" w:hAnsi="Times New Roman" w:eastAsia="宋体" w:cs="Times New Roman"/>
          <w:color w:val="auto"/>
          <w:kern w:val="0"/>
          <w:sz w:val="24"/>
          <w:szCs w:val="24"/>
          <w:highlight w:val="none"/>
          <w:lang w:val="zh-CN"/>
        </w:rPr>
        <w:t>；</w:t>
      </w:r>
      <w:r>
        <w:rPr>
          <w:rFonts w:hint="default" w:ascii="Times New Roman" w:hAnsi="Times New Roman" w:cs="Times New Roman"/>
          <w:color w:val="auto"/>
          <w:kern w:val="0"/>
          <w:sz w:val="24"/>
          <w:highlight w:val="none"/>
          <w:lang w:val="en-US" w:eastAsia="zh-CN"/>
        </w:rPr>
        <w:t>数据需要按我院数据湖数据标准对接</w:t>
      </w:r>
      <w:r>
        <w:rPr>
          <w:rFonts w:hint="eastAsia" w:ascii="Times New Roman" w:hAnsi="Times New Roman" w:cs="Times New Roman"/>
          <w:color w:val="auto"/>
          <w:kern w:val="0"/>
          <w:sz w:val="24"/>
          <w:highlight w:val="none"/>
          <w:lang w:val="en-US" w:eastAsia="zh-CN"/>
        </w:rPr>
        <w:t>；</w:t>
      </w:r>
      <w:r>
        <w:rPr>
          <w:rFonts w:hint="eastAsia" w:eastAsia="宋体" w:cs="宋体"/>
          <w:color w:val="auto"/>
          <w:szCs w:val="24"/>
          <w:highlight w:val="none"/>
        </w:rPr>
        <w:t>系统需支持从不同数据源中进行数据提取作业，支持秒级数据同步，支持图形化</w:t>
      </w:r>
      <w:r>
        <w:rPr>
          <w:rFonts w:hint="eastAsia" w:eastAsia="宋体" w:cs="宋体"/>
          <w:color w:val="auto"/>
          <w:szCs w:val="24"/>
          <w:highlight w:val="none"/>
          <w:lang w:eastAsia="zh-CN"/>
        </w:rPr>
        <w:t>、</w:t>
      </w:r>
      <w:r>
        <w:rPr>
          <w:rFonts w:hint="eastAsia" w:eastAsia="宋体" w:cs="宋体"/>
          <w:color w:val="auto"/>
          <w:szCs w:val="24"/>
          <w:highlight w:val="none"/>
          <w:lang w:val="en-US" w:eastAsia="zh-CN"/>
        </w:rPr>
        <w:t>易操作的</w:t>
      </w:r>
      <w:r>
        <w:rPr>
          <w:rFonts w:hint="eastAsia" w:eastAsia="宋体" w:cs="宋体"/>
          <w:color w:val="auto"/>
          <w:szCs w:val="24"/>
          <w:highlight w:val="none"/>
        </w:rPr>
        <w:t>数据处理逻辑。</w:t>
      </w:r>
    </w:p>
    <w:p w14:paraId="7129E7B5">
      <w:pPr>
        <w:numPr>
          <w:ilvl w:val="0"/>
          <w:numId w:val="4"/>
        </w:numPr>
        <w:spacing w:before="0" w:beforeLines="0" w:after="0" w:afterLines="0"/>
        <w:rPr>
          <w:color w:val="auto"/>
          <w:highlight w:val="none"/>
        </w:rPr>
      </w:pPr>
      <w:r>
        <w:rPr>
          <w:rFonts w:hint="eastAsia"/>
          <w:color w:val="auto"/>
          <w:highlight w:val="none"/>
        </w:rPr>
        <w:t>系统</w:t>
      </w:r>
      <w:r>
        <w:rPr>
          <w:rFonts w:hint="eastAsia"/>
          <w:color w:val="auto"/>
          <w:highlight w:val="none"/>
          <w:lang w:val="en-US" w:eastAsia="zh-CN"/>
        </w:rPr>
        <w:t>部署要求：</w:t>
      </w:r>
      <w:r>
        <w:rPr>
          <w:color w:val="auto"/>
          <w:highlight w:val="none"/>
        </w:rPr>
        <w:t>具备完善</w:t>
      </w:r>
      <w:r>
        <w:rPr>
          <w:rFonts w:hint="eastAsia"/>
          <w:color w:val="auto"/>
          <w:highlight w:val="none"/>
        </w:rPr>
        <w:t>的</w:t>
      </w:r>
      <w:r>
        <w:rPr>
          <w:color w:val="auto"/>
          <w:highlight w:val="none"/>
        </w:rPr>
        <w:t>应用部署能力</w:t>
      </w:r>
      <w:r>
        <w:rPr>
          <w:rFonts w:hint="eastAsia"/>
          <w:color w:val="auto"/>
          <w:highlight w:val="none"/>
          <w:lang w:eastAsia="zh-CN"/>
        </w:rPr>
        <w:t>；</w:t>
      </w:r>
      <w:r>
        <w:rPr>
          <w:rFonts w:hint="eastAsia"/>
          <w:color w:val="auto"/>
          <w:highlight w:val="none"/>
        </w:rPr>
        <w:t>具备高可用性，</w:t>
      </w:r>
      <w:r>
        <w:rPr>
          <w:color w:val="auto"/>
          <w:highlight w:val="none"/>
        </w:rPr>
        <w:t>支持7*24小时不间断运行</w:t>
      </w:r>
      <w:r>
        <w:rPr>
          <w:rFonts w:hint="eastAsia"/>
          <w:color w:val="auto"/>
          <w:highlight w:val="none"/>
          <w:lang w:eastAsia="zh-CN"/>
        </w:rPr>
        <w:t>；</w:t>
      </w:r>
      <w:r>
        <w:rPr>
          <w:rFonts w:hint="eastAsia"/>
          <w:color w:val="auto"/>
          <w:highlight w:val="none"/>
        </w:rPr>
        <w:t>支持使用决策表、决策树等进行医学规则的配置</w:t>
      </w:r>
      <w:r>
        <w:rPr>
          <w:rFonts w:hint="eastAsia"/>
          <w:color w:val="auto"/>
          <w:highlight w:val="none"/>
          <w:lang w:eastAsia="zh-CN"/>
        </w:rPr>
        <w:t>；</w:t>
      </w:r>
      <w:r>
        <w:rPr>
          <w:rFonts w:hint="eastAsia" w:cs="宋体"/>
          <w:color w:val="auto"/>
          <w:highlight w:val="none"/>
        </w:rPr>
        <w:t>软件系统易理解、操作简单、提示清晰、逻辑性强，直观简洁、帮助信息丰富等特点，</w:t>
      </w:r>
      <w:r>
        <w:rPr>
          <w:rFonts w:hint="eastAsia" w:cs="宋体"/>
          <w:color w:val="auto"/>
          <w:highlight w:val="none"/>
          <w:lang w:val="en-US" w:eastAsia="zh-CN"/>
        </w:rPr>
        <w:t>确保医务</w:t>
      </w:r>
      <w:r>
        <w:rPr>
          <w:rFonts w:hint="eastAsia" w:cs="宋体"/>
          <w:color w:val="auto"/>
          <w:highlight w:val="none"/>
        </w:rPr>
        <w:t>人员以最快速度和最少点击次数完成</w:t>
      </w:r>
      <w:r>
        <w:rPr>
          <w:rFonts w:hint="eastAsia" w:cs="宋体"/>
          <w:color w:val="auto"/>
          <w:highlight w:val="none"/>
          <w:lang w:val="en-US" w:eastAsia="zh-CN"/>
        </w:rPr>
        <w:t>操作</w:t>
      </w:r>
      <w:r>
        <w:rPr>
          <w:rFonts w:hint="eastAsia"/>
          <w:color w:val="auto"/>
          <w:highlight w:val="none"/>
        </w:rPr>
        <w:t>。</w:t>
      </w:r>
    </w:p>
    <w:p w14:paraId="6ED18403">
      <w:pPr>
        <w:pStyle w:val="45"/>
        <w:numPr>
          <w:ilvl w:val="0"/>
          <w:numId w:val="4"/>
        </w:numPr>
        <w:spacing w:before="0" w:beforeLines="0" w:after="0" w:afterLines="0"/>
        <w:rPr>
          <w:rFonts w:cs="宋体"/>
          <w:color w:val="auto"/>
          <w:highlight w:val="none"/>
        </w:rPr>
      </w:pPr>
      <w:r>
        <w:rPr>
          <w:rFonts w:hint="eastAsia"/>
          <w:color w:val="auto"/>
          <w:highlight w:val="none"/>
          <w:lang w:val="en-US" w:eastAsia="zh-CN"/>
        </w:rPr>
        <w:t>系统建设要求：</w:t>
      </w:r>
      <w:r>
        <w:rPr>
          <w:rFonts w:hint="eastAsia"/>
          <w:color w:val="auto"/>
          <w:highlight w:val="none"/>
        </w:rPr>
        <w:t>具有VTE智能防治管理系统相关软件著作权登记证书</w:t>
      </w:r>
      <w:r>
        <w:rPr>
          <w:rFonts w:hint="eastAsia"/>
          <w:color w:val="auto"/>
          <w:highlight w:val="none"/>
          <w:lang w:eastAsia="zh-CN"/>
        </w:rPr>
        <w:t>；</w:t>
      </w:r>
      <w:r>
        <w:rPr>
          <w:rFonts w:hint="eastAsia" w:cs="宋体"/>
          <w:color w:val="auto"/>
          <w:highlight w:val="none"/>
        </w:rPr>
        <w:t>满足</w:t>
      </w:r>
      <w:r>
        <w:rPr>
          <w:rFonts w:hint="eastAsia" w:cs="宋体"/>
          <w:color w:val="auto"/>
          <w:highlight w:val="none"/>
          <w:lang w:val="en-US" w:eastAsia="zh-CN"/>
        </w:rPr>
        <w:t>国家各级VTE防治管理</w:t>
      </w:r>
      <w:r>
        <w:rPr>
          <w:rFonts w:hint="eastAsia" w:cs="宋体"/>
          <w:color w:val="auto"/>
          <w:highlight w:val="none"/>
        </w:rPr>
        <w:t>的各项</w:t>
      </w:r>
      <w:r>
        <w:rPr>
          <w:rFonts w:hint="eastAsia" w:cs="宋体"/>
          <w:color w:val="auto"/>
          <w:highlight w:val="none"/>
          <w:lang w:val="en-US" w:eastAsia="zh-CN"/>
        </w:rPr>
        <w:t>建设标准和</w:t>
      </w:r>
      <w:r>
        <w:rPr>
          <w:rFonts w:hint="eastAsia" w:cs="宋体"/>
          <w:color w:val="auto"/>
          <w:highlight w:val="none"/>
        </w:rPr>
        <w:t>要求</w:t>
      </w:r>
      <w:r>
        <w:rPr>
          <w:rFonts w:hint="eastAsia" w:cs="宋体"/>
          <w:color w:val="auto"/>
          <w:highlight w:val="none"/>
          <w:lang w:eastAsia="zh-CN"/>
        </w:rPr>
        <w:t>；</w:t>
      </w:r>
      <w:r>
        <w:rPr>
          <w:rFonts w:hint="eastAsia" w:cs="宋体"/>
          <w:color w:val="auto"/>
          <w:highlight w:val="none"/>
        </w:rPr>
        <w:t>满足</w:t>
      </w:r>
      <w:r>
        <w:rPr>
          <w:rFonts w:hint="default" w:ascii="Times New Roman" w:hAnsi="Times New Roman" w:cs="Times New Roman"/>
          <w:color w:val="auto"/>
          <w:kern w:val="0"/>
          <w:sz w:val="24"/>
          <w:highlight w:val="none"/>
          <w:lang w:val="en-US" w:eastAsia="zh-CN"/>
        </w:rPr>
        <w:t>《医院信息互联互通标准化成熟度测评方案》五级乙等指标及《电子病历系统应用水平分级评价标准》六级、智慧服务三级、智慧管理三级指标要求</w:t>
      </w:r>
      <w:r>
        <w:rPr>
          <w:rFonts w:hint="eastAsia" w:cs="宋体"/>
          <w:color w:val="auto"/>
          <w:highlight w:val="none"/>
        </w:rPr>
        <w:t>。</w:t>
      </w:r>
    </w:p>
    <w:p w14:paraId="33E578C3">
      <w:pPr>
        <w:pStyle w:val="2"/>
        <w:spacing w:before="0" w:beforeLines="0" w:after="0" w:afterLines="0" w:line="360" w:lineRule="auto"/>
        <w:rPr>
          <w:color w:val="auto"/>
          <w:highlight w:val="none"/>
          <w:lang w:eastAsia="zh-Hans"/>
        </w:rPr>
      </w:pPr>
      <w:r>
        <w:rPr>
          <w:rFonts w:hint="eastAsia"/>
          <w:color w:val="auto"/>
          <w:highlight w:val="none"/>
          <w:lang w:val="en-US" w:eastAsia="zh-CN"/>
        </w:rPr>
        <w:t>系统</w:t>
      </w:r>
      <w:r>
        <w:rPr>
          <w:rFonts w:hint="eastAsia"/>
          <w:color w:val="auto"/>
          <w:highlight w:val="none"/>
          <w:lang w:eastAsia="zh-Hans"/>
        </w:rPr>
        <w:t>需求</w:t>
      </w:r>
    </w:p>
    <w:p w14:paraId="05569F25">
      <w:pPr>
        <w:pStyle w:val="3"/>
        <w:spacing w:before="0" w:beforeLines="0" w:after="0" w:afterLines="0" w:line="360" w:lineRule="auto"/>
        <w:rPr>
          <w:color w:val="auto"/>
          <w:highlight w:val="none"/>
        </w:rPr>
      </w:pPr>
      <w:r>
        <w:rPr>
          <w:rFonts w:hint="eastAsia"/>
          <w:color w:val="auto"/>
          <w:highlight w:val="none"/>
        </w:rPr>
        <w:t>VTE风险智能评估</w:t>
      </w:r>
    </w:p>
    <w:p w14:paraId="6723FACC">
      <w:pPr>
        <w:pStyle w:val="4"/>
        <w:spacing w:before="0" w:beforeLines="0" w:after="0" w:afterLines="0" w:line="360" w:lineRule="auto"/>
        <w:rPr>
          <w:color w:val="auto"/>
          <w:highlight w:val="none"/>
        </w:rPr>
      </w:pPr>
      <w:r>
        <w:rPr>
          <w:rFonts w:hint="eastAsia"/>
          <w:color w:val="auto"/>
          <w:highlight w:val="none"/>
        </w:rPr>
        <w:t>血栓风险智能评估</w:t>
      </w:r>
    </w:p>
    <w:p w14:paraId="6A595254">
      <w:pPr>
        <w:pStyle w:val="45"/>
        <w:numPr>
          <w:ilvl w:val="0"/>
          <w:numId w:val="5"/>
        </w:numPr>
        <w:spacing w:before="0" w:beforeLines="0" w:after="0" w:afterLines="0"/>
        <w:ind w:left="900" w:hanging="420"/>
        <w:rPr>
          <w:color w:val="auto"/>
          <w:highlight w:val="none"/>
        </w:rPr>
      </w:pPr>
      <w:r>
        <w:rPr>
          <w:rFonts w:hint="eastAsia"/>
          <w:color w:val="auto"/>
          <w:highlight w:val="none"/>
        </w:rPr>
        <w:t>系统需提供血栓风险相关评估量表，包括但不限于</w:t>
      </w:r>
      <w:r>
        <w:rPr>
          <w:color w:val="auto"/>
          <w:highlight w:val="none"/>
        </w:rPr>
        <w:t>Caprin</w:t>
      </w:r>
      <w:r>
        <w:rPr>
          <w:rFonts w:hint="eastAsia"/>
          <w:color w:val="auto"/>
          <w:highlight w:val="none"/>
        </w:rPr>
        <w:t>i</w:t>
      </w:r>
      <w:r>
        <w:rPr>
          <w:color w:val="auto"/>
          <w:highlight w:val="none"/>
        </w:rPr>
        <w:t>、Padua、RCOG、Wells-DVT、Wells-PTE、Geneva等</w:t>
      </w:r>
      <w:r>
        <w:rPr>
          <w:rFonts w:hint="eastAsia"/>
          <w:color w:val="auto"/>
          <w:highlight w:val="none"/>
        </w:rPr>
        <w:t>量表</w:t>
      </w:r>
      <w:r>
        <w:rPr>
          <w:color w:val="auto"/>
          <w:highlight w:val="none"/>
        </w:rPr>
        <w:t>。</w:t>
      </w:r>
    </w:p>
    <w:p w14:paraId="7FB841C5">
      <w:pPr>
        <w:pStyle w:val="45"/>
        <w:numPr>
          <w:ilvl w:val="0"/>
          <w:numId w:val="5"/>
        </w:numPr>
        <w:spacing w:before="0" w:beforeLines="0" w:after="0" w:afterLines="0"/>
        <w:ind w:left="900" w:hanging="420"/>
        <w:rPr>
          <w:color w:val="auto"/>
          <w:highlight w:val="none"/>
        </w:rPr>
      </w:pPr>
      <w:r>
        <w:rPr>
          <w:rFonts w:hint="eastAsia"/>
          <w:color w:val="auto"/>
          <w:highlight w:val="none"/>
        </w:rPr>
        <w:t>系统需支持血栓风险入院评估和动态评估，支持对患者的VTE风险进行持续自动评分，评估时刻包括但不限于入院后、</w:t>
      </w:r>
      <w:r>
        <w:rPr>
          <w:color w:val="auto"/>
          <w:highlight w:val="none"/>
        </w:rPr>
        <w:t>手术前、手术后</w:t>
      </w:r>
      <w:r>
        <w:rPr>
          <w:rFonts w:hint="eastAsia"/>
          <w:color w:val="auto"/>
          <w:highlight w:val="none"/>
        </w:rPr>
        <w:t>、转科前、转科后、病情变化、出院前等时机；支持对</w:t>
      </w:r>
      <w:r>
        <w:rPr>
          <w:color w:val="auto"/>
          <w:highlight w:val="none"/>
        </w:rPr>
        <w:t>未及时进行血栓风险评估的患者</w:t>
      </w:r>
      <w:r>
        <w:rPr>
          <w:rFonts w:hint="eastAsia"/>
          <w:color w:val="auto"/>
          <w:highlight w:val="none"/>
        </w:rPr>
        <w:t>进行临床评估提醒。</w:t>
      </w:r>
    </w:p>
    <w:p w14:paraId="5AC019ED">
      <w:pPr>
        <w:pStyle w:val="45"/>
        <w:numPr>
          <w:ilvl w:val="0"/>
          <w:numId w:val="5"/>
        </w:numPr>
        <w:spacing w:before="0" w:beforeLines="0" w:after="0" w:afterLines="0"/>
        <w:ind w:left="900" w:hanging="420"/>
        <w:rPr>
          <w:color w:val="auto"/>
          <w:highlight w:val="none"/>
        </w:rPr>
      </w:pPr>
      <w:r>
        <w:rPr>
          <w:rFonts w:hint="eastAsia"/>
          <w:color w:val="auto"/>
          <w:highlight w:val="none"/>
        </w:rPr>
        <w:t>系统需支持根据患者情况自动推出</w:t>
      </w:r>
      <w:r>
        <w:rPr>
          <w:color w:val="auto"/>
          <w:highlight w:val="none"/>
        </w:rPr>
        <w:t>Wells-DVT、Wells-PTE、Geneva</w:t>
      </w:r>
      <w:r>
        <w:rPr>
          <w:rFonts w:hint="eastAsia"/>
          <w:color w:val="auto"/>
          <w:highlight w:val="none"/>
        </w:rPr>
        <w:t>评估量表、肺栓塞危险分层（危险程度）评分表。</w:t>
      </w:r>
    </w:p>
    <w:p w14:paraId="16AF8094">
      <w:pPr>
        <w:pStyle w:val="45"/>
        <w:numPr>
          <w:ilvl w:val="0"/>
          <w:numId w:val="5"/>
        </w:numPr>
        <w:spacing w:before="0" w:beforeLines="0" w:after="0" w:afterLines="0"/>
        <w:ind w:left="900" w:hanging="420"/>
        <w:rPr>
          <w:color w:val="auto"/>
          <w:highlight w:val="none"/>
        </w:rPr>
      </w:pPr>
      <w:r>
        <w:rPr>
          <w:rFonts w:hint="eastAsia"/>
          <w:color w:val="auto"/>
          <w:highlight w:val="none"/>
        </w:rPr>
        <w:t>系统需</w:t>
      </w:r>
      <w:r>
        <w:rPr>
          <w:color w:val="auto"/>
          <w:highlight w:val="none"/>
        </w:rPr>
        <w:t>支持基于自然语言处理技术，自动抓取或计算数据，自动勾选</w:t>
      </w:r>
      <w:r>
        <w:rPr>
          <w:rFonts w:hint="eastAsia"/>
          <w:color w:val="auto"/>
          <w:highlight w:val="none"/>
        </w:rPr>
        <w:t>、</w:t>
      </w:r>
      <w:r>
        <w:rPr>
          <w:color w:val="auto"/>
          <w:highlight w:val="none"/>
        </w:rPr>
        <w:t>填充Caprin</w:t>
      </w:r>
      <w:r>
        <w:rPr>
          <w:rFonts w:hint="eastAsia"/>
          <w:color w:val="auto"/>
          <w:highlight w:val="none"/>
        </w:rPr>
        <w:t>i</w:t>
      </w:r>
      <w:r>
        <w:rPr>
          <w:color w:val="auto"/>
          <w:highlight w:val="none"/>
        </w:rPr>
        <w:t>、Padua、RCOG、Wells-PTE、Geneva</w:t>
      </w:r>
      <w:r>
        <w:rPr>
          <w:rFonts w:hint="eastAsia"/>
          <w:color w:val="auto"/>
          <w:highlight w:val="none"/>
        </w:rPr>
        <w:t>评估量表的评估项</w:t>
      </w:r>
      <w:r>
        <w:rPr>
          <w:color w:val="auto"/>
          <w:highlight w:val="none"/>
        </w:rPr>
        <w:t>。</w:t>
      </w:r>
    </w:p>
    <w:p w14:paraId="65E45B52">
      <w:pPr>
        <w:pStyle w:val="45"/>
        <w:numPr>
          <w:ilvl w:val="0"/>
          <w:numId w:val="5"/>
        </w:numPr>
        <w:spacing w:before="0" w:beforeLines="0" w:after="0" w:afterLines="0"/>
        <w:ind w:left="900" w:hanging="420"/>
        <w:rPr>
          <w:color w:val="auto"/>
          <w:highlight w:val="none"/>
        </w:rPr>
      </w:pPr>
      <w:r>
        <w:rPr>
          <w:rFonts w:hint="eastAsia"/>
          <w:color w:val="auto"/>
          <w:highlight w:val="none"/>
        </w:rPr>
        <w:t>系统需支持用户对系统评估结果进行人工复核及确认。</w:t>
      </w:r>
    </w:p>
    <w:p w14:paraId="0490436A">
      <w:pPr>
        <w:pStyle w:val="45"/>
        <w:numPr>
          <w:ilvl w:val="0"/>
          <w:numId w:val="5"/>
        </w:numPr>
        <w:spacing w:before="0" w:beforeLines="0" w:after="0" w:afterLines="0"/>
        <w:ind w:left="900" w:hanging="420"/>
        <w:rPr>
          <w:color w:val="auto"/>
          <w:highlight w:val="none"/>
        </w:rPr>
      </w:pPr>
      <w:r>
        <w:rPr>
          <w:color w:val="auto"/>
          <w:highlight w:val="none"/>
        </w:rPr>
        <w:t>当人工勾选与系统自动评估选项出现差异时，</w:t>
      </w:r>
      <w:r>
        <w:rPr>
          <w:rFonts w:hint="eastAsia"/>
          <w:color w:val="auto"/>
          <w:highlight w:val="none"/>
        </w:rPr>
        <w:t>系统需</w:t>
      </w:r>
      <w:r>
        <w:rPr>
          <w:color w:val="auto"/>
          <w:highlight w:val="none"/>
        </w:rPr>
        <w:t>支持以底色变化或其它方式进行区分。</w:t>
      </w:r>
    </w:p>
    <w:p w14:paraId="2D76FF31">
      <w:pPr>
        <w:pStyle w:val="45"/>
        <w:numPr>
          <w:ilvl w:val="0"/>
          <w:numId w:val="5"/>
        </w:numPr>
        <w:spacing w:before="0" w:beforeLines="0" w:after="0" w:afterLines="0"/>
        <w:ind w:left="900" w:hanging="420"/>
        <w:rPr>
          <w:color w:val="auto"/>
          <w:highlight w:val="none"/>
        </w:rPr>
      </w:pPr>
      <w:r>
        <w:rPr>
          <w:rFonts w:hint="eastAsia"/>
          <w:color w:val="auto"/>
          <w:highlight w:val="none"/>
        </w:rPr>
        <w:t>系统需支持</w:t>
      </w:r>
      <w:r>
        <w:rPr>
          <w:color w:val="auto"/>
          <w:highlight w:val="none"/>
        </w:rPr>
        <w:t>评估量表自定义配置附加项。</w:t>
      </w:r>
    </w:p>
    <w:p w14:paraId="4928D1CB">
      <w:pPr>
        <w:pStyle w:val="45"/>
        <w:numPr>
          <w:ilvl w:val="0"/>
          <w:numId w:val="5"/>
        </w:numPr>
        <w:spacing w:before="0" w:beforeLines="0" w:after="0" w:afterLines="0"/>
        <w:ind w:left="900" w:hanging="420"/>
        <w:rPr>
          <w:color w:val="auto"/>
          <w:highlight w:val="none"/>
        </w:rPr>
      </w:pPr>
      <w:r>
        <w:rPr>
          <w:rFonts w:hint="eastAsia"/>
          <w:color w:val="auto"/>
          <w:highlight w:val="none"/>
        </w:rPr>
        <w:t>系统需支持</w:t>
      </w:r>
      <w:r>
        <w:rPr>
          <w:color w:val="auto"/>
          <w:highlight w:val="none"/>
        </w:rPr>
        <w:t>血栓风险量表审核</w:t>
      </w:r>
      <w:r>
        <w:rPr>
          <w:rFonts w:hint="eastAsia"/>
          <w:color w:val="auto"/>
          <w:highlight w:val="none"/>
        </w:rPr>
        <w:t>、打印</w:t>
      </w:r>
      <w:r>
        <w:rPr>
          <w:color w:val="auto"/>
          <w:highlight w:val="none"/>
        </w:rPr>
        <w:t>。</w:t>
      </w:r>
    </w:p>
    <w:p w14:paraId="3E052E2A">
      <w:pPr>
        <w:pStyle w:val="45"/>
        <w:numPr>
          <w:ilvl w:val="0"/>
          <w:numId w:val="5"/>
        </w:numPr>
        <w:spacing w:before="0" w:beforeLines="0" w:after="0" w:afterLines="0"/>
        <w:ind w:left="900" w:hanging="420"/>
        <w:rPr>
          <w:color w:val="auto"/>
          <w:highlight w:val="none"/>
        </w:rPr>
      </w:pPr>
      <w:r>
        <w:rPr>
          <w:rFonts w:hint="eastAsia"/>
          <w:color w:val="auto"/>
          <w:highlight w:val="none"/>
        </w:rPr>
        <w:t>系统需</w:t>
      </w:r>
      <w:r>
        <w:rPr>
          <w:color w:val="auto"/>
          <w:highlight w:val="none"/>
        </w:rPr>
        <w:t>支持评估提示在完成血栓风险评估后自动消失。</w:t>
      </w:r>
    </w:p>
    <w:p w14:paraId="67C8DDCB">
      <w:pPr>
        <w:pStyle w:val="45"/>
        <w:numPr>
          <w:ilvl w:val="0"/>
          <w:numId w:val="5"/>
        </w:numPr>
        <w:spacing w:before="0" w:beforeLines="0" w:after="0" w:afterLines="0"/>
        <w:ind w:left="900" w:hanging="420"/>
        <w:rPr>
          <w:color w:val="auto"/>
          <w:highlight w:val="none"/>
        </w:rPr>
      </w:pPr>
      <w:r>
        <w:rPr>
          <w:rFonts w:hint="eastAsia"/>
          <w:color w:val="auto"/>
          <w:highlight w:val="none"/>
        </w:rPr>
        <w:t>系统需</w:t>
      </w:r>
      <w:r>
        <w:rPr>
          <w:color w:val="auto"/>
          <w:highlight w:val="none"/>
        </w:rPr>
        <w:t>支持按照时间轴的方式展示历次评估记录</w:t>
      </w:r>
      <w:r>
        <w:rPr>
          <w:rFonts w:hint="eastAsia"/>
          <w:color w:val="auto"/>
          <w:highlight w:val="none"/>
        </w:rPr>
        <w:t>。</w:t>
      </w:r>
    </w:p>
    <w:p w14:paraId="1FF19B1A">
      <w:pPr>
        <w:pStyle w:val="4"/>
        <w:spacing w:before="0" w:beforeLines="0" w:after="0" w:afterLines="0" w:line="360" w:lineRule="auto"/>
        <w:rPr>
          <w:color w:val="auto"/>
          <w:highlight w:val="none"/>
        </w:rPr>
      </w:pPr>
      <w:bookmarkStart w:id="0" w:name="_Toc23811"/>
      <w:r>
        <w:rPr>
          <w:color w:val="auto"/>
          <w:highlight w:val="none"/>
        </w:rPr>
        <w:t>出血风险智能评估</w:t>
      </w:r>
      <w:bookmarkEnd w:id="0"/>
    </w:p>
    <w:p w14:paraId="12D7EC92">
      <w:pPr>
        <w:pStyle w:val="45"/>
        <w:numPr>
          <w:ilvl w:val="0"/>
          <w:numId w:val="6"/>
        </w:numPr>
        <w:spacing w:before="0" w:beforeLines="0" w:after="0" w:afterLines="0"/>
        <w:rPr>
          <w:color w:val="auto"/>
          <w:highlight w:val="none"/>
        </w:rPr>
      </w:pPr>
      <w:r>
        <w:rPr>
          <w:rFonts w:hint="eastAsia"/>
          <w:color w:val="auto"/>
          <w:highlight w:val="none"/>
        </w:rPr>
        <w:t>系统需</w:t>
      </w:r>
      <w:r>
        <w:rPr>
          <w:color w:val="auto"/>
          <w:highlight w:val="none"/>
        </w:rPr>
        <w:t>支持自动识别VTE中高危患者，并适时、自动推出外科出血风险评估表或内科出血风险评估表。</w:t>
      </w:r>
    </w:p>
    <w:p w14:paraId="009B5264">
      <w:pPr>
        <w:pStyle w:val="45"/>
        <w:numPr>
          <w:ilvl w:val="0"/>
          <w:numId w:val="6"/>
        </w:numPr>
        <w:spacing w:before="0" w:beforeLines="0" w:after="0" w:afterLines="0"/>
        <w:rPr>
          <w:color w:val="auto"/>
          <w:highlight w:val="none"/>
        </w:rPr>
      </w:pPr>
      <w:r>
        <w:rPr>
          <w:rFonts w:hint="eastAsia"/>
          <w:color w:val="auto"/>
          <w:highlight w:val="none"/>
        </w:rPr>
        <w:t>系统需</w:t>
      </w:r>
      <w:r>
        <w:rPr>
          <w:color w:val="auto"/>
          <w:highlight w:val="none"/>
        </w:rPr>
        <w:t>支持基于自然语言处理以及规则演算等技术，自动抓取或计算数据，自动勾选</w:t>
      </w:r>
      <w:r>
        <w:rPr>
          <w:rFonts w:hint="eastAsia"/>
          <w:color w:val="auto"/>
          <w:highlight w:val="none"/>
        </w:rPr>
        <w:t>、</w:t>
      </w:r>
      <w:r>
        <w:rPr>
          <w:color w:val="auto"/>
          <w:highlight w:val="none"/>
        </w:rPr>
        <w:t>填充评估量表内容。</w:t>
      </w:r>
    </w:p>
    <w:p w14:paraId="61B48664">
      <w:pPr>
        <w:pStyle w:val="45"/>
        <w:numPr>
          <w:ilvl w:val="0"/>
          <w:numId w:val="6"/>
        </w:numPr>
        <w:spacing w:before="0" w:beforeLines="0" w:after="0" w:afterLines="0"/>
        <w:rPr>
          <w:color w:val="auto"/>
          <w:highlight w:val="none"/>
        </w:rPr>
      </w:pPr>
      <w:r>
        <w:rPr>
          <w:rFonts w:hint="eastAsia"/>
          <w:color w:val="auto"/>
          <w:highlight w:val="none"/>
        </w:rPr>
        <w:t>系统需支持用户对自动评估结果进行人工复核及确认。</w:t>
      </w:r>
    </w:p>
    <w:p w14:paraId="65948FC8">
      <w:pPr>
        <w:pStyle w:val="45"/>
        <w:numPr>
          <w:ilvl w:val="0"/>
          <w:numId w:val="6"/>
        </w:numPr>
        <w:spacing w:before="0" w:beforeLines="0" w:after="0" w:afterLines="0"/>
        <w:rPr>
          <w:color w:val="auto"/>
          <w:highlight w:val="none"/>
        </w:rPr>
      </w:pPr>
      <w:r>
        <w:rPr>
          <w:rFonts w:hint="eastAsia"/>
          <w:color w:val="auto"/>
          <w:highlight w:val="none"/>
        </w:rPr>
        <w:t>系统需支持</w:t>
      </w:r>
      <w:r>
        <w:rPr>
          <w:color w:val="auto"/>
          <w:highlight w:val="none"/>
        </w:rPr>
        <w:t>评估量表自定义配置附加项。</w:t>
      </w:r>
    </w:p>
    <w:p w14:paraId="0F5CCEB7">
      <w:pPr>
        <w:pStyle w:val="45"/>
        <w:numPr>
          <w:ilvl w:val="0"/>
          <w:numId w:val="6"/>
        </w:numPr>
        <w:spacing w:before="0" w:beforeLines="0" w:after="0" w:afterLines="0"/>
        <w:rPr>
          <w:color w:val="auto"/>
          <w:highlight w:val="none"/>
        </w:rPr>
      </w:pPr>
      <w:r>
        <w:rPr>
          <w:rFonts w:hint="eastAsia"/>
          <w:color w:val="auto"/>
          <w:highlight w:val="none"/>
        </w:rPr>
        <w:t>系统需支持出血</w:t>
      </w:r>
      <w:r>
        <w:rPr>
          <w:color w:val="auto"/>
          <w:highlight w:val="none"/>
        </w:rPr>
        <w:t>风险量表审核</w:t>
      </w:r>
      <w:r>
        <w:rPr>
          <w:rFonts w:hint="eastAsia"/>
          <w:color w:val="auto"/>
          <w:highlight w:val="none"/>
        </w:rPr>
        <w:t>、打印</w:t>
      </w:r>
      <w:r>
        <w:rPr>
          <w:color w:val="auto"/>
          <w:highlight w:val="none"/>
        </w:rPr>
        <w:t>。</w:t>
      </w:r>
    </w:p>
    <w:p w14:paraId="7672FAE6">
      <w:pPr>
        <w:pStyle w:val="45"/>
        <w:numPr>
          <w:ilvl w:val="0"/>
          <w:numId w:val="6"/>
        </w:numPr>
        <w:spacing w:before="0" w:beforeLines="0" w:after="0" w:afterLines="0"/>
        <w:rPr>
          <w:color w:val="auto"/>
          <w:highlight w:val="none"/>
        </w:rPr>
      </w:pPr>
      <w:r>
        <w:rPr>
          <w:rFonts w:hint="eastAsia"/>
          <w:color w:val="auto"/>
          <w:highlight w:val="none"/>
        </w:rPr>
        <w:t>系统需</w:t>
      </w:r>
      <w:r>
        <w:rPr>
          <w:color w:val="auto"/>
          <w:highlight w:val="none"/>
        </w:rPr>
        <w:t>支持评估提示在完成</w:t>
      </w:r>
      <w:r>
        <w:rPr>
          <w:rFonts w:hint="eastAsia"/>
          <w:color w:val="auto"/>
          <w:highlight w:val="none"/>
        </w:rPr>
        <w:t>出血</w:t>
      </w:r>
      <w:r>
        <w:rPr>
          <w:color w:val="auto"/>
          <w:highlight w:val="none"/>
        </w:rPr>
        <w:t>风险评估后自动消失。</w:t>
      </w:r>
    </w:p>
    <w:p w14:paraId="34104124">
      <w:pPr>
        <w:pStyle w:val="45"/>
        <w:numPr>
          <w:ilvl w:val="0"/>
          <w:numId w:val="6"/>
        </w:numPr>
        <w:spacing w:before="0" w:beforeLines="0" w:after="0" w:afterLines="0"/>
        <w:rPr>
          <w:color w:val="auto"/>
          <w:highlight w:val="none"/>
        </w:rPr>
      </w:pPr>
      <w:r>
        <w:rPr>
          <w:rFonts w:hint="eastAsia"/>
          <w:color w:val="auto"/>
          <w:highlight w:val="none"/>
        </w:rPr>
        <w:t>系统需</w:t>
      </w:r>
      <w:r>
        <w:rPr>
          <w:color w:val="auto"/>
          <w:highlight w:val="none"/>
        </w:rPr>
        <w:t>支持按照时间轴的方式展示历次评估记录</w:t>
      </w:r>
      <w:r>
        <w:rPr>
          <w:rFonts w:hint="eastAsia"/>
          <w:color w:val="auto"/>
          <w:highlight w:val="none"/>
        </w:rPr>
        <w:t>。</w:t>
      </w:r>
    </w:p>
    <w:p w14:paraId="6E9FD805">
      <w:pPr>
        <w:pStyle w:val="4"/>
        <w:spacing w:before="0" w:beforeLines="0" w:after="0" w:afterLines="0" w:line="360" w:lineRule="auto"/>
        <w:rPr>
          <w:color w:val="auto"/>
          <w:highlight w:val="none"/>
        </w:rPr>
      </w:pPr>
      <w:bookmarkStart w:id="1" w:name="_Toc14381"/>
      <w:r>
        <w:rPr>
          <w:color w:val="auto"/>
          <w:highlight w:val="none"/>
        </w:rPr>
        <w:t>机械预防禁忌评估</w:t>
      </w:r>
      <w:bookmarkEnd w:id="1"/>
    </w:p>
    <w:p w14:paraId="052F1EC6">
      <w:pPr>
        <w:pStyle w:val="45"/>
        <w:numPr>
          <w:ilvl w:val="0"/>
          <w:numId w:val="7"/>
        </w:numPr>
        <w:spacing w:before="0" w:beforeLines="0" w:after="0" w:afterLines="0"/>
        <w:rPr>
          <w:color w:val="auto"/>
          <w:highlight w:val="none"/>
        </w:rPr>
      </w:pPr>
      <w:r>
        <w:rPr>
          <w:color w:val="auto"/>
          <w:highlight w:val="none"/>
        </w:rPr>
        <w:t>系统</w:t>
      </w:r>
      <w:r>
        <w:rPr>
          <w:rFonts w:hint="eastAsia"/>
          <w:color w:val="auto"/>
          <w:highlight w:val="none"/>
        </w:rPr>
        <w:t>需支持</w:t>
      </w:r>
      <w:r>
        <w:rPr>
          <w:color w:val="auto"/>
          <w:highlight w:val="none"/>
        </w:rPr>
        <w:t>适时、自动推出机械预防禁忌症评估量表。</w:t>
      </w:r>
    </w:p>
    <w:p w14:paraId="7BBC3538">
      <w:pPr>
        <w:pStyle w:val="45"/>
        <w:numPr>
          <w:ilvl w:val="0"/>
          <w:numId w:val="7"/>
        </w:numPr>
        <w:spacing w:before="0" w:beforeLines="0" w:after="0" w:afterLines="0"/>
        <w:rPr>
          <w:color w:val="auto"/>
          <w:highlight w:val="none"/>
        </w:rPr>
      </w:pPr>
      <w:r>
        <w:rPr>
          <w:rFonts w:hint="eastAsia"/>
          <w:color w:val="auto"/>
          <w:highlight w:val="none"/>
        </w:rPr>
        <w:t>系统需支持</w:t>
      </w:r>
      <w:r>
        <w:rPr>
          <w:color w:val="auto"/>
          <w:highlight w:val="none"/>
        </w:rPr>
        <w:t>自动勾选或填充机械预防禁忌症评估量表。</w:t>
      </w:r>
    </w:p>
    <w:p w14:paraId="7E529462">
      <w:pPr>
        <w:pStyle w:val="45"/>
        <w:numPr>
          <w:ilvl w:val="0"/>
          <w:numId w:val="7"/>
        </w:numPr>
        <w:spacing w:before="0" w:beforeLines="0" w:after="0" w:afterLines="0"/>
        <w:rPr>
          <w:color w:val="auto"/>
          <w:highlight w:val="none"/>
        </w:rPr>
      </w:pPr>
      <w:r>
        <w:rPr>
          <w:rFonts w:hint="eastAsia"/>
          <w:color w:val="auto"/>
          <w:highlight w:val="none"/>
        </w:rPr>
        <w:t>系统需支持评估提示在完成机械预防禁忌症评估后自动消失。</w:t>
      </w:r>
    </w:p>
    <w:p w14:paraId="41137B4C">
      <w:pPr>
        <w:pStyle w:val="45"/>
        <w:numPr>
          <w:ilvl w:val="0"/>
          <w:numId w:val="7"/>
        </w:numPr>
        <w:spacing w:before="0" w:beforeLines="0" w:after="0" w:afterLines="0"/>
        <w:rPr>
          <w:color w:val="auto"/>
          <w:highlight w:val="none"/>
        </w:rPr>
      </w:pPr>
      <w:r>
        <w:rPr>
          <w:rFonts w:hint="eastAsia"/>
          <w:color w:val="auto"/>
          <w:highlight w:val="none"/>
        </w:rPr>
        <w:t>系统需支持按照时间轴的方式展示历次评估记录。</w:t>
      </w:r>
    </w:p>
    <w:p w14:paraId="236DEAA7">
      <w:pPr>
        <w:pStyle w:val="4"/>
        <w:spacing w:before="0" w:beforeLines="0" w:after="0" w:afterLines="0" w:line="360" w:lineRule="auto"/>
        <w:rPr>
          <w:color w:val="auto"/>
          <w:highlight w:val="none"/>
        </w:rPr>
      </w:pPr>
      <w:bookmarkStart w:id="2" w:name="_Toc30692"/>
      <w:r>
        <w:rPr>
          <w:rFonts w:hint="eastAsia" w:eastAsia="宋体" w:cs="宋体"/>
          <w:color w:val="auto"/>
          <w:kern w:val="0"/>
          <w:szCs w:val="24"/>
          <w:highlight w:val="none"/>
          <w:lang w:bidi="ar"/>
        </w:rPr>
        <w:t>妊娠期及产褥期VTE风险智能评估</w:t>
      </w:r>
      <w:bookmarkEnd w:id="2"/>
    </w:p>
    <w:p w14:paraId="4ACFCC8D">
      <w:pPr>
        <w:pStyle w:val="45"/>
        <w:numPr>
          <w:ilvl w:val="0"/>
          <w:numId w:val="8"/>
        </w:numPr>
        <w:spacing w:before="0" w:beforeLines="0" w:after="0" w:afterLines="0"/>
        <w:rPr>
          <w:color w:val="auto"/>
          <w:highlight w:val="none"/>
        </w:rPr>
      </w:pPr>
      <w:r>
        <w:rPr>
          <w:rFonts w:hint="eastAsia"/>
          <w:color w:val="auto"/>
          <w:highlight w:val="none"/>
        </w:rPr>
        <w:t>系统需</w:t>
      </w:r>
      <w:r>
        <w:rPr>
          <w:color w:val="auto"/>
          <w:highlight w:val="none"/>
        </w:rPr>
        <w:t>支持自动识别妊娠期及产褥期患者</w:t>
      </w:r>
      <w:r>
        <w:rPr>
          <w:rFonts w:hint="eastAsia"/>
          <w:color w:val="auto"/>
          <w:highlight w:val="none"/>
        </w:rPr>
        <w:t>。</w:t>
      </w:r>
    </w:p>
    <w:p w14:paraId="20E72CCB">
      <w:pPr>
        <w:pStyle w:val="45"/>
        <w:numPr>
          <w:ilvl w:val="0"/>
          <w:numId w:val="8"/>
        </w:numPr>
        <w:spacing w:before="0" w:beforeLines="0" w:after="0" w:afterLines="0"/>
        <w:rPr>
          <w:color w:val="auto"/>
          <w:highlight w:val="none"/>
        </w:rPr>
      </w:pPr>
      <w:r>
        <w:rPr>
          <w:rFonts w:hint="eastAsia"/>
          <w:color w:val="auto"/>
          <w:highlight w:val="none"/>
        </w:rPr>
        <w:t>系统需支持自动勾选或填充妊娠期及产褥期VTE风险、出血风险评估量表。</w:t>
      </w:r>
    </w:p>
    <w:p w14:paraId="5FAE2CFA">
      <w:pPr>
        <w:pStyle w:val="45"/>
        <w:numPr>
          <w:ilvl w:val="0"/>
          <w:numId w:val="8"/>
        </w:numPr>
        <w:spacing w:before="0" w:beforeLines="0" w:after="0" w:afterLines="0"/>
        <w:rPr>
          <w:color w:val="auto"/>
          <w:highlight w:val="none"/>
        </w:rPr>
      </w:pPr>
      <w:r>
        <w:rPr>
          <w:rFonts w:hint="eastAsia"/>
          <w:color w:val="auto"/>
          <w:highlight w:val="none"/>
        </w:rPr>
        <w:t>系统需支持</w:t>
      </w:r>
      <w:r>
        <w:rPr>
          <w:color w:val="auto"/>
          <w:highlight w:val="none"/>
        </w:rPr>
        <w:t>自动对患者的VTE风险</w:t>
      </w:r>
      <w:r>
        <w:rPr>
          <w:rFonts w:hint="eastAsia"/>
          <w:color w:val="auto"/>
          <w:highlight w:val="none"/>
        </w:rPr>
        <w:t>、出血风险</w:t>
      </w:r>
      <w:r>
        <w:rPr>
          <w:color w:val="auto"/>
          <w:highlight w:val="none"/>
        </w:rPr>
        <w:t>进行持续自动评分</w:t>
      </w:r>
      <w:r>
        <w:rPr>
          <w:rFonts w:hint="eastAsia"/>
          <w:color w:val="auto"/>
          <w:highlight w:val="none"/>
        </w:rPr>
        <w:t>。</w:t>
      </w:r>
    </w:p>
    <w:p w14:paraId="38006CBB">
      <w:pPr>
        <w:pStyle w:val="4"/>
        <w:spacing w:before="0" w:beforeLines="0" w:after="0" w:afterLines="0" w:line="360" w:lineRule="auto"/>
        <w:rPr>
          <w:color w:val="auto"/>
          <w:highlight w:val="none"/>
        </w:rPr>
      </w:pPr>
      <w:bookmarkStart w:id="3" w:name="_Toc29518"/>
      <w:r>
        <w:rPr>
          <w:rFonts w:hint="eastAsia" w:eastAsia="宋体" w:cs="宋体"/>
          <w:color w:val="auto"/>
          <w:kern w:val="0"/>
          <w:szCs w:val="24"/>
          <w:highlight w:val="none"/>
          <w:lang w:bidi="ar"/>
        </w:rPr>
        <w:t>肿瘤VTE风险智能评估</w:t>
      </w:r>
      <w:bookmarkEnd w:id="3"/>
    </w:p>
    <w:p w14:paraId="035809B8">
      <w:pPr>
        <w:pStyle w:val="45"/>
        <w:numPr>
          <w:ilvl w:val="0"/>
          <w:numId w:val="9"/>
        </w:numPr>
        <w:spacing w:before="0" w:beforeLines="0" w:after="0" w:afterLines="0"/>
        <w:rPr>
          <w:color w:val="auto"/>
          <w:highlight w:val="none"/>
        </w:rPr>
      </w:pPr>
      <w:r>
        <w:rPr>
          <w:rFonts w:hint="eastAsia"/>
          <w:color w:val="auto"/>
          <w:highlight w:val="none"/>
        </w:rPr>
        <w:t>系统需提供</w:t>
      </w:r>
      <w:r>
        <w:rPr>
          <w:color w:val="auto"/>
          <w:highlight w:val="none"/>
        </w:rPr>
        <w:t>肿瘤患者Khorana量表</w:t>
      </w:r>
      <w:r>
        <w:rPr>
          <w:rFonts w:hint="eastAsia"/>
          <w:color w:val="auto"/>
          <w:highlight w:val="none"/>
        </w:rPr>
        <w:t>、</w:t>
      </w:r>
      <w:r>
        <w:rPr>
          <w:color w:val="auto"/>
          <w:highlight w:val="none"/>
        </w:rPr>
        <w:t>肿瘤患者抗凝</w:t>
      </w:r>
      <w:r>
        <w:rPr>
          <w:rFonts w:hint="eastAsia"/>
          <w:color w:val="auto"/>
          <w:highlight w:val="none"/>
        </w:rPr>
        <w:t>禁忌</w:t>
      </w:r>
      <w:r>
        <w:rPr>
          <w:color w:val="auto"/>
          <w:highlight w:val="none"/>
        </w:rPr>
        <w:t>评估</w:t>
      </w:r>
      <w:r>
        <w:rPr>
          <w:rFonts w:hint="eastAsia"/>
          <w:color w:val="auto"/>
          <w:highlight w:val="none"/>
        </w:rPr>
        <w:t>表。</w:t>
      </w:r>
    </w:p>
    <w:p w14:paraId="63798BC4">
      <w:pPr>
        <w:pStyle w:val="45"/>
        <w:numPr>
          <w:ilvl w:val="0"/>
          <w:numId w:val="9"/>
        </w:numPr>
        <w:spacing w:before="0" w:beforeLines="0" w:after="0" w:afterLines="0"/>
        <w:rPr>
          <w:color w:val="auto"/>
          <w:highlight w:val="none"/>
        </w:rPr>
      </w:pPr>
      <w:r>
        <w:rPr>
          <w:rFonts w:hint="eastAsia"/>
          <w:color w:val="auto"/>
          <w:highlight w:val="none"/>
        </w:rPr>
        <w:t>系统需支持量表</w:t>
      </w:r>
      <w:r>
        <w:rPr>
          <w:color w:val="auto"/>
          <w:highlight w:val="none"/>
        </w:rPr>
        <w:t>自动勾选、自动计分与自动分层</w:t>
      </w:r>
      <w:r>
        <w:rPr>
          <w:rFonts w:hint="eastAsia"/>
          <w:color w:val="auto"/>
          <w:highlight w:val="none"/>
        </w:rPr>
        <w:t>，</w:t>
      </w:r>
      <w:r>
        <w:rPr>
          <w:color w:val="auto"/>
          <w:highlight w:val="none"/>
        </w:rPr>
        <w:t>并</w:t>
      </w:r>
      <w:r>
        <w:rPr>
          <w:rFonts w:hint="eastAsia"/>
          <w:color w:val="auto"/>
          <w:highlight w:val="none"/>
        </w:rPr>
        <w:t>支持对自动</w:t>
      </w:r>
      <w:r>
        <w:rPr>
          <w:color w:val="auto"/>
          <w:highlight w:val="none"/>
        </w:rPr>
        <w:t>评估结果进行人工复核。</w:t>
      </w:r>
    </w:p>
    <w:p w14:paraId="48F3D9AF">
      <w:pPr>
        <w:pStyle w:val="45"/>
        <w:numPr>
          <w:ilvl w:val="0"/>
          <w:numId w:val="9"/>
        </w:numPr>
        <w:spacing w:before="0" w:beforeLines="0" w:after="0" w:afterLines="0"/>
        <w:rPr>
          <w:rFonts w:eastAsia="宋体"/>
          <w:color w:val="auto"/>
          <w:highlight w:val="none"/>
        </w:rPr>
      </w:pPr>
      <w:r>
        <w:rPr>
          <w:rFonts w:hint="eastAsia"/>
          <w:color w:val="auto"/>
          <w:highlight w:val="none"/>
        </w:rPr>
        <w:t>系统需</w:t>
      </w:r>
      <w:r>
        <w:rPr>
          <w:color w:val="auto"/>
          <w:highlight w:val="none"/>
        </w:rPr>
        <w:t>支持动态监测肿瘤患者住院期间的临床数据变化，</w:t>
      </w:r>
      <w:r>
        <w:rPr>
          <w:rFonts w:hint="eastAsia"/>
          <w:color w:val="auto"/>
          <w:highlight w:val="none"/>
        </w:rPr>
        <w:t>持续自动评分</w:t>
      </w:r>
      <w:r>
        <w:rPr>
          <w:color w:val="auto"/>
          <w:highlight w:val="none"/>
        </w:rPr>
        <w:t>。</w:t>
      </w:r>
    </w:p>
    <w:p w14:paraId="4DF2F59A">
      <w:pPr>
        <w:pStyle w:val="4"/>
        <w:spacing w:before="0" w:beforeLines="0" w:after="0" w:afterLines="0" w:line="360" w:lineRule="auto"/>
        <w:rPr>
          <w:color w:val="auto"/>
          <w:highlight w:val="none"/>
        </w:rPr>
      </w:pPr>
      <w:bookmarkStart w:id="4" w:name="_Toc1747"/>
      <w:r>
        <w:rPr>
          <w:color w:val="auto"/>
          <w:highlight w:val="none"/>
        </w:rPr>
        <w:t>骨科VTE风险智能评估</w:t>
      </w:r>
      <w:bookmarkEnd w:id="4"/>
    </w:p>
    <w:p w14:paraId="7CC4E56A">
      <w:pPr>
        <w:pStyle w:val="45"/>
        <w:numPr>
          <w:ilvl w:val="0"/>
          <w:numId w:val="10"/>
        </w:numPr>
        <w:spacing w:before="0" w:beforeLines="0" w:after="0" w:afterLines="0"/>
        <w:rPr>
          <w:color w:val="auto"/>
          <w:highlight w:val="none"/>
        </w:rPr>
      </w:pPr>
      <w:r>
        <w:rPr>
          <w:rFonts w:hint="eastAsia"/>
          <w:color w:val="auto"/>
          <w:highlight w:val="none"/>
        </w:rPr>
        <w:t>系统需提供</w:t>
      </w:r>
      <w:r>
        <w:rPr>
          <w:color w:val="auto"/>
          <w:highlight w:val="none"/>
        </w:rPr>
        <w:t>骨科大手术VTE评估</w:t>
      </w:r>
      <w:r>
        <w:rPr>
          <w:rFonts w:hint="eastAsia"/>
          <w:color w:val="auto"/>
          <w:highlight w:val="none"/>
        </w:rPr>
        <w:t>量表、</w:t>
      </w:r>
      <w:r>
        <w:rPr>
          <w:color w:val="auto"/>
          <w:highlight w:val="none"/>
        </w:rPr>
        <w:t>普外科（2022共识版Caprini）评估量表</w:t>
      </w:r>
      <w:r>
        <w:rPr>
          <w:rFonts w:hint="eastAsia"/>
          <w:color w:val="auto"/>
          <w:highlight w:val="none"/>
        </w:rPr>
        <w:t>。</w:t>
      </w:r>
      <w:bookmarkStart w:id="5" w:name="_Toc23208"/>
    </w:p>
    <w:p w14:paraId="28A216DC">
      <w:pPr>
        <w:pStyle w:val="45"/>
        <w:numPr>
          <w:ilvl w:val="0"/>
          <w:numId w:val="10"/>
        </w:numPr>
        <w:spacing w:before="0" w:beforeLines="0" w:after="0" w:afterLines="0"/>
        <w:rPr>
          <w:rFonts w:eastAsia="宋体"/>
          <w:color w:val="auto"/>
          <w:highlight w:val="none"/>
        </w:rPr>
      </w:pPr>
      <w:r>
        <w:rPr>
          <w:rFonts w:hint="eastAsia"/>
          <w:color w:val="auto"/>
          <w:highlight w:val="none"/>
        </w:rPr>
        <w:t>系统需支持量表</w:t>
      </w:r>
      <w:r>
        <w:rPr>
          <w:color w:val="auto"/>
          <w:highlight w:val="none"/>
        </w:rPr>
        <w:t>自动勾选、自动计分与自动分层</w:t>
      </w:r>
      <w:r>
        <w:rPr>
          <w:rFonts w:hint="eastAsia"/>
          <w:color w:val="auto"/>
          <w:highlight w:val="none"/>
        </w:rPr>
        <w:t>，</w:t>
      </w:r>
      <w:r>
        <w:rPr>
          <w:color w:val="auto"/>
          <w:highlight w:val="none"/>
        </w:rPr>
        <w:t>并</w:t>
      </w:r>
      <w:r>
        <w:rPr>
          <w:rFonts w:hint="eastAsia"/>
          <w:color w:val="auto"/>
          <w:highlight w:val="none"/>
        </w:rPr>
        <w:t>支持对自动</w:t>
      </w:r>
      <w:r>
        <w:rPr>
          <w:color w:val="auto"/>
          <w:highlight w:val="none"/>
        </w:rPr>
        <w:t>评估结果进行人工复核。</w:t>
      </w:r>
    </w:p>
    <w:p w14:paraId="6D53B96E">
      <w:pPr>
        <w:pStyle w:val="45"/>
        <w:numPr>
          <w:ilvl w:val="0"/>
          <w:numId w:val="10"/>
        </w:numPr>
        <w:spacing w:before="0" w:beforeLines="0" w:after="0" w:afterLines="0"/>
        <w:rPr>
          <w:rFonts w:eastAsia="宋体"/>
          <w:color w:val="auto"/>
          <w:highlight w:val="none"/>
        </w:rPr>
      </w:pPr>
      <w:r>
        <w:rPr>
          <w:rFonts w:hint="eastAsia"/>
          <w:color w:val="auto"/>
          <w:highlight w:val="none"/>
        </w:rPr>
        <w:t>系统需</w:t>
      </w:r>
      <w:r>
        <w:rPr>
          <w:color w:val="auto"/>
          <w:highlight w:val="none"/>
        </w:rPr>
        <w:t>支持动态监</w:t>
      </w:r>
      <w:r>
        <w:rPr>
          <w:rFonts w:hint="eastAsia"/>
          <w:color w:val="auto"/>
          <w:highlight w:val="none"/>
        </w:rPr>
        <w:t>骨科</w:t>
      </w:r>
      <w:r>
        <w:rPr>
          <w:color w:val="auto"/>
          <w:highlight w:val="none"/>
        </w:rPr>
        <w:t>患者住院期间的临床数据变化，</w:t>
      </w:r>
      <w:r>
        <w:rPr>
          <w:rFonts w:hint="eastAsia"/>
          <w:color w:val="auto"/>
          <w:highlight w:val="none"/>
        </w:rPr>
        <w:t>持续自动评估</w:t>
      </w:r>
      <w:r>
        <w:rPr>
          <w:color w:val="auto"/>
          <w:highlight w:val="none"/>
        </w:rPr>
        <w:t>。</w:t>
      </w:r>
    </w:p>
    <w:p w14:paraId="3FFDA40D">
      <w:pPr>
        <w:pStyle w:val="4"/>
        <w:spacing w:before="0" w:beforeLines="0" w:after="0" w:afterLines="0" w:line="360" w:lineRule="auto"/>
        <w:rPr>
          <w:color w:val="auto"/>
          <w:highlight w:val="none"/>
        </w:rPr>
      </w:pPr>
      <w:r>
        <w:rPr>
          <w:color w:val="auto"/>
          <w:highlight w:val="none"/>
        </w:rPr>
        <w:t>VTE医学量表工具箱</w:t>
      </w:r>
      <w:bookmarkEnd w:id="5"/>
    </w:p>
    <w:p w14:paraId="008B6091">
      <w:pPr>
        <w:numPr>
          <w:ilvl w:val="0"/>
          <w:numId w:val="11"/>
        </w:numPr>
        <w:spacing w:before="0" w:beforeLines="0" w:after="0" w:afterLines="0"/>
        <w:rPr>
          <w:color w:val="auto"/>
          <w:highlight w:val="none"/>
        </w:rPr>
      </w:pPr>
      <w:r>
        <w:rPr>
          <w:rFonts w:hint="eastAsia"/>
          <w:color w:val="auto"/>
          <w:highlight w:val="none"/>
        </w:rPr>
        <w:t>系统需支持手动从量表清单中选择量表</w:t>
      </w:r>
      <w:r>
        <w:rPr>
          <w:color w:val="auto"/>
          <w:highlight w:val="none"/>
        </w:rPr>
        <w:t>。</w:t>
      </w:r>
    </w:p>
    <w:p w14:paraId="7E0445FB">
      <w:pPr>
        <w:pStyle w:val="45"/>
        <w:numPr>
          <w:ilvl w:val="0"/>
          <w:numId w:val="11"/>
        </w:numPr>
        <w:spacing w:before="0" w:beforeLines="0" w:after="0" w:afterLines="0"/>
        <w:rPr>
          <w:color w:val="auto"/>
          <w:highlight w:val="none"/>
        </w:rPr>
      </w:pPr>
      <w:r>
        <w:rPr>
          <w:rFonts w:hint="eastAsia"/>
          <w:color w:val="auto"/>
          <w:highlight w:val="none"/>
        </w:rPr>
        <w:t>系统需</w:t>
      </w:r>
      <w:r>
        <w:rPr>
          <w:color w:val="auto"/>
          <w:highlight w:val="none"/>
        </w:rPr>
        <w:t>支持量表自动计算评估结果。</w:t>
      </w:r>
    </w:p>
    <w:p w14:paraId="04FDADF1">
      <w:pPr>
        <w:pStyle w:val="45"/>
        <w:numPr>
          <w:ilvl w:val="0"/>
          <w:numId w:val="11"/>
        </w:numPr>
        <w:spacing w:before="0" w:beforeLines="0" w:after="0" w:afterLines="0"/>
        <w:rPr>
          <w:color w:val="auto"/>
          <w:highlight w:val="none"/>
        </w:rPr>
      </w:pPr>
      <w:r>
        <w:rPr>
          <w:rFonts w:hint="eastAsia"/>
          <w:color w:val="auto"/>
          <w:highlight w:val="none"/>
        </w:rPr>
        <w:t>系统需</w:t>
      </w:r>
      <w:r>
        <w:rPr>
          <w:color w:val="auto"/>
          <w:highlight w:val="none"/>
        </w:rPr>
        <w:t>支持自定义配置</w:t>
      </w:r>
      <w:r>
        <w:rPr>
          <w:rFonts w:hint="eastAsia"/>
          <w:color w:val="auto"/>
          <w:highlight w:val="none"/>
        </w:rPr>
        <w:t>量表</w:t>
      </w:r>
      <w:r>
        <w:rPr>
          <w:color w:val="auto"/>
          <w:highlight w:val="none"/>
        </w:rPr>
        <w:t>附加项。</w:t>
      </w:r>
    </w:p>
    <w:p w14:paraId="1306AA08">
      <w:pPr>
        <w:pStyle w:val="45"/>
        <w:numPr>
          <w:ilvl w:val="0"/>
          <w:numId w:val="11"/>
        </w:numPr>
        <w:spacing w:before="0" w:beforeLines="0" w:after="0" w:afterLines="0"/>
        <w:rPr>
          <w:color w:val="auto"/>
          <w:highlight w:val="none"/>
        </w:rPr>
      </w:pPr>
      <w:r>
        <w:rPr>
          <w:rFonts w:hint="eastAsia"/>
          <w:color w:val="auto"/>
          <w:highlight w:val="none"/>
        </w:rPr>
        <w:t>系统需支持量表</w:t>
      </w:r>
      <w:r>
        <w:rPr>
          <w:color w:val="auto"/>
          <w:highlight w:val="none"/>
        </w:rPr>
        <w:t>审核</w:t>
      </w:r>
      <w:r>
        <w:rPr>
          <w:rFonts w:hint="eastAsia"/>
          <w:color w:val="auto"/>
          <w:highlight w:val="none"/>
        </w:rPr>
        <w:t>、</w:t>
      </w:r>
      <w:r>
        <w:rPr>
          <w:color w:val="auto"/>
          <w:highlight w:val="none"/>
        </w:rPr>
        <w:t>打印功能。</w:t>
      </w:r>
    </w:p>
    <w:p w14:paraId="42523F4F">
      <w:pPr>
        <w:pStyle w:val="45"/>
        <w:numPr>
          <w:ilvl w:val="0"/>
          <w:numId w:val="11"/>
        </w:numPr>
        <w:spacing w:before="0" w:beforeLines="0" w:after="0" w:afterLines="0"/>
        <w:rPr>
          <w:color w:val="auto"/>
          <w:highlight w:val="none"/>
        </w:rPr>
      </w:pPr>
      <w:r>
        <w:rPr>
          <w:rFonts w:hint="eastAsia"/>
          <w:color w:val="auto"/>
          <w:highlight w:val="none"/>
        </w:rPr>
        <w:t>系统需支持按科室推量表</w:t>
      </w:r>
      <w:r>
        <w:rPr>
          <w:rFonts w:hint="eastAsia"/>
          <w:color w:val="auto"/>
          <w:highlight w:val="none"/>
          <w:lang w:eastAsia="zh-CN"/>
        </w:rPr>
        <w:t>。</w:t>
      </w:r>
    </w:p>
    <w:p w14:paraId="01B5A038">
      <w:pPr>
        <w:pStyle w:val="4"/>
        <w:spacing w:before="0" w:beforeLines="0" w:after="0" w:afterLines="0" w:line="360" w:lineRule="auto"/>
        <w:rPr>
          <w:color w:val="auto"/>
          <w:highlight w:val="none"/>
        </w:rPr>
      </w:pPr>
      <w:r>
        <w:rPr>
          <w:rFonts w:hint="eastAsia"/>
          <w:color w:val="auto"/>
          <w:highlight w:val="none"/>
        </w:rPr>
        <w:t>强制性评估流程</w:t>
      </w:r>
    </w:p>
    <w:p w14:paraId="2FD0375F">
      <w:pPr>
        <w:tabs>
          <w:tab w:val="left" w:pos="420"/>
        </w:tabs>
        <w:spacing w:before="0" w:beforeLines="0" w:after="0" w:afterLines="0"/>
        <w:ind w:left="420"/>
        <w:rPr>
          <w:color w:val="auto"/>
          <w:highlight w:val="none"/>
        </w:rPr>
      </w:pPr>
      <w:r>
        <w:rPr>
          <w:rFonts w:hint="eastAsia" w:cs="宋体"/>
          <w:color w:val="auto"/>
          <w:kern w:val="0"/>
          <w:szCs w:val="24"/>
          <w:highlight w:val="none"/>
        </w:rPr>
        <w:t>系统需支持根据预设的VTE风险评估量表（如Caprini风险评估量表、Padua评分量表等）判定患者为中高危VTE风险时，VTE系统自动触发并展示额外所需的风险评估工具。</w:t>
      </w:r>
    </w:p>
    <w:p w14:paraId="61E905BD">
      <w:pPr>
        <w:pStyle w:val="3"/>
        <w:spacing w:before="0" w:beforeLines="0" w:after="0" w:afterLines="0" w:line="360" w:lineRule="auto"/>
        <w:rPr>
          <w:color w:val="auto"/>
          <w:highlight w:val="none"/>
        </w:rPr>
      </w:pPr>
      <w:bookmarkStart w:id="6" w:name="_Toc5359"/>
      <w:r>
        <w:rPr>
          <w:color w:val="auto"/>
          <w:highlight w:val="none"/>
        </w:rPr>
        <w:t>VTE防治智能辅助</w:t>
      </w:r>
      <w:bookmarkEnd w:id="6"/>
    </w:p>
    <w:p w14:paraId="438E066A">
      <w:pPr>
        <w:pStyle w:val="4"/>
        <w:spacing w:before="0" w:beforeLines="0" w:after="0" w:afterLines="0" w:line="360" w:lineRule="auto"/>
        <w:rPr>
          <w:color w:val="auto"/>
          <w:highlight w:val="none"/>
        </w:rPr>
      </w:pPr>
      <w:bookmarkStart w:id="7" w:name="_Toc25080"/>
      <w:r>
        <w:rPr>
          <w:color w:val="auto"/>
          <w:highlight w:val="none"/>
        </w:rPr>
        <w:t>VTE智能预防辅助</w:t>
      </w:r>
      <w:bookmarkEnd w:id="7"/>
    </w:p>
    <w:p w14:paraId="3A98F9C8">
      <w:pPr>
        <w:numPr>
          <w:ilvl w:val="0"/>
          <w:numId w:val="12"/>
        </w:numPr>
        <w:spacing w:before="0" w:beforeLines="0" w:after="0" w:afterLines="0"/>
        <w:rPr>
          <w:color w:val="auto"/>
          <w:highlight w:val="none"/>
        </w:rPr>
      </w:pPr>
      <w:r>
        <w:rPr>
          <w:rFonts w:hint="eastAsia"/>
          <w:color w:val="auto"/>
          <w:highlight w:val="none"/>
        </w:rPr>
        <w:t>系统需</w:t>
      </w:r>
      <w:r>
        <w:rPr>
          <w:color w:val="auto"/>
          <w:highlight w:val="none"/>
        </w:rPr>
        <w:t>支持根据血栓和出血评估结果</w:t>
      </w:r>
      <w:r>
        <w:rPr>
          <w:rFonts w:hint="eastAsia"/>
          <w:color w:val="auto"/>
          <w:highlight w:val="none"/>
        </w:rPr>
        <w:t>自动</w:t>
      </w:r>
      <w:r>
        <w:rPr>
          <w:color w:val="auto"/>
          <w:highlight w:val="none"/>
        </w:rPr>
        <w:t>推出不同的预防措施量表</w:t>
      </w:r>
      <w:r>
        <w:rPr>
          <w:rFonts w:hint="eastAsia"/>
          <w:color w:val="auto"/>
          <w:highlight w:val="none"/>
        </w:rPr>
        <w:t>；系统必须具备</w:t>
      </w:r>
      <w:r>
        <w:rPr>
          <w:color w:val="auto"/>
          <w:highlight w:val="none"/>
        </w:rPr>
        <w:t>预防措施禁忌症说明。</w:t>
      </w:r>
    </w:p>
    <w:p w14:paraId="2DC8A4DC">
      <w:pPr>
        <w:numPr>
          <w:ilvl w:val="0"/>
          <w:numId w:val="12"/>
        </w:numPr>
        <w:spacing w:before="0" w:beforeLines="0" w:after="0" w:afterLines="0"/>
        <w:rPr>
          <w:color w:val="auto"/>
          <w:highlight w:val="none"/>
        </w:rPr>
      </w:pPr>
      <w:r>
        <w:rPr>
          <w:rFonts w:hint="eastAsia"/>
          <w:color w:val="auto"/>
          <w:highlight w:val="none"/>
        </w:rPr>
        <w:t>系统需</w:t>
      </w:r>
      <w:r>
        <w:rPr>
          <w:color w:val="auto"/>
          <w:highlight w:val="none"/>
        </w:rPr>
        <w:t>涵盖</w:t>
      </w:r>
      <w:r>
        <w:rPr>
          <w:rFonts w:hint="eastAsia"/>
          <w:color w:val="auto"/>
          <w:highlight w:val="none"/>
        </w:rPr>
        <w:t>并智能推出相关</w:t>
      </w:r>
      <w:r>
        <w:rPr>
          <w:color w:val="auto"/>
          <w:highlight w:val="none"/>
        </w:rPr>
        <w:t>中医VTE防治知识，包括提取证型、中药活血药及治疗禁忌等内容。</w:t>
      </w:r>
    </w:p>
    <w:p w14:paraId="34C6834B">
      <w:pPr>
        <w:numPr>
          <w:ilvl w:val="0"/>
          <w:numId w:val="12"/>
        </w:numPr>
        <w:spacing w:before="0" w:beforeLines="0" w:after="0" w:afterLines="0"/>
        <w:rPr>
          <w:color w:val="auto"/>
          <w:highlight w:val="none"/>
        </w:rPr>
      </w:pPr>
      <w:r>
        <w:rPr>
          <w:color w:val="auto"/>
          <w:highlight w:val="none"/>
        </w:rPr>
        <w:t>在完成VTE风险评估评分后，支持对评分结果进行CDU（临床决策单元）溯源查询。</w:t>
      </w:r>
    </w:p>
    <w:p w14:paraId="19B34F5E">
      <w:pPr>
        <w:pStyle w:val="45"/>
        <w:numPr>
          <w:ilvl w:val="0"/>
          <w:numId w:val="12"/>
        </w:numPr>
        <w:spacing w:before="0" w:beforeLines="0" w:after="0" w:afterLines="0"/>
        <w:rPr>
          <w:rFonts w:eastAsia="宋体"/>
          <w:color w:val="auto"/>
          <w:highlight w:val="none"/>
        </w:rPr>
      </w:pPr>
      <w:r>
        <w:rPr>
          <w:rFonts w:hint="eastAsia"/>
          <w:color w:val="auto"/>
          <w:highlight w:val="none"/>
        </w:rPr>
        <w:t>系统需</w:t>
      </w:r>
      <w:r>
        <w:rPr>
          <w:color w:val="auto"/>
          <w:highlight w:val="none"/>
        </w:rPr>
        <w:t>支持自动监测患者医嘱数据，结合评估结果，对患者的预防医嘱进行核查</w:t>
      </w:r>
      <w:r>
        <w:rPr>
          <w:rFonts w:hint="eastAsia"/>
          <w:color w:val="auto"/>
          <w:highlight w:val="none"/>
        </w:rPr>
        <w:t>，需支持对出血风险高的患者进行抗凝药物禁忌提示。</w:t>
      </w:r>
    </w:p>
    <w:p w14:paraId="0EF8773C">
      <w:pPr>
        <w:pStyle w:val="45"/>
        <w:numPr>
          <w:ilvl w:val="0"/>
          <w:numId w:val="12"/>
        </w:numPr>
        <w:spacing w:before="0" w:beforeLines="0" w:after="0" w:afterLines="0"/>
        <w:rPr>
          <w:rFonts w:eastAsia="宋体"/>
          <w:color w:val="auto"/>
          <w:highlight w:val="none"/>
        </w:rPr>
      </w:pPr>
      <w:r>
        <w:rPr>
          <w:rFonts w:hint="eastAsia"/>
          <w:color w:val="auto"/>
          <w:highlight w:val="none"/>
        </w:rPr>
        <w:t>系统必须支持在同一界面查看VTE预防提示规则溯源，包括但不限于规则描述和文献来源，系统必须支持查看触发当前规则的业务数据来源。</w:t>
      </w:r>
    </w:p>
    <w:p w14:paraId="6D02E11B">
      <w:pPr>
        <w:pStyle w:val="45"/>
        <w:numPr>
          <w:ilvl w:val="0"/>
          <w:numId w:val="12"/>
        </w:numPr>
        <w:spacing w:before="0" w:beforeLines="0" w:after="0" w:afterLines="0"/>
        <w:rPr>
          <w:rFonts w:eastAsia="宋体"/>
          <w:color w:val="auto"/>
          <w:highlight w:val="none"/>
        </w:rPr>
      </w:pPr>
      <w:r>
        <w:rPr>
          <w:rFonts w:hint="eastAsia"/>
          <w:color w:val="auto"/>
          <w:highlight w:val="none"/>
        </w:rPr>
        <w:t>系统需支持用户对规则提示内容进行反馈。</w:t>
      </w:r>
    </w:p>
    <w:p w14:paraId="2282BE60">
      <w:pPr>
        <w:pStyle w:val="4"/>
        <w:spacing w:before="0" w:beforeLines="0" w:after="0" w:afterLines="0" w:line="360" w:lineRule="auto"/>
        <w:rPr>
          <w:color w:val="auto"/>
          <w:highlight w:val="none"/>
        </w:rPr>
      </w:pPr>
      <w:bookmarkStart w:id="8" w:name="_Toc28590"/>
      <w:r>
        <w:rPr>
          <w:color w:val="auto"/>
          <w:highlight w:val="none"/>
        </w:rPr>
        <w:t>VTE智能诊疗辅助</w:t>
      </w:r>
      <w:bookmarkEnd w:id="8"/>
    </w:p>
    <w:p w14:paraId="0CCE1C34">
      <w:pPr>
        <w:pStyle w:val="45"/>
        <w:numPr>
          <w:ilvl w:val="0"/>
          <w:numId w:val="13"/>
        </w:numPr>
        <w:spacing w:before="0" w:beforeLines="0" w:after="0" w:afterLines="0"/>
        <w:rPr>
          <w:color w:val="auto"/>
          <w:highlight w:val="none"/>
        </w:rPr>
      </w:pPr>
      <w:r>
        <w:rPr>
          <w:rFonts w:hint="eastAsia"/>
          <w:color w:val="auto"/>
          <w:highlight w:val="none"/>
        </w:rPr>
        <w:t>系统需支持抗凝药物预警。</w:t>
      </w:r>
    </w:p>
    <w:p w14:paraId="5A1CBAA0">
      <w:pPr>
        <w:pStyle w:val="45"/>
        <w:numPr>
          <w:ilvl w:val="0"/>
          <w:numId w:val="13"/>
        </w:numPr>
        <w:spacing w:before="0" w:beforeLines="0" w:after="0" w:afterLines="0"/>
        <w:rPr>
          <w:color w:val="auto"/>
          <w:highlight w:val="none"/>
        </w:rPr>
      </w:pPr>
      <w:r>
        <w:rPr>
          <w:rFonts w:hint="eastAsia"/>
          <w:color w:val="auto"/>
          <w:highlight w:val="none"/>
        </w:rPr>
        <w:t>系统需支持动态监测</w:t>
      </w:r>
      <w:r>
        <w:rPr>
          <w:color w:val="auto"/>
          <w:highlight w:val="none"/>
        </w:rPr>
        <w:t>患者禁忌症和不良事件</w:t>
      </w:r>
      <w:r>
        <w:rPr>
          <w:rFonts w:hint="eastAsia"/>
          <w:color w:val="auto"/>
          <w:highlight w:val="none"/>
        </w:rPr>
        <w:t>，并提供</w:t>
      </w:r>
      <w:r>
        <w:rPr>
          <w:color w:val="auto"/>
          <w:highlight w:val="none"/>
        </w:rPr>
        <w:t>诊疗辅助建议</w:t>
      </w:r>
      <w:r>
        <w:rPr>
          <w:rFonts w:hint="eastAsia"/>
          <w:color w:val="auto"/>
          <w:highlight w:val="none"/>
        </w:rPr>
        <w:t>。</w:t>
      </w:r>
    </w:p>
    <w:p w14:paraId="1B306DC2">
      <w:pPr>
        <w:pStyle w:val="45"/>
        <w:numPr>
          <w:ilvl w:val="0"/>
          <w:numId w:val="13"/>
        </w:numPr>
        <w:spacing w:before="0" w:beforeLines="0" w:after="0" w:afterLines="0"/>
        <w:rPr>
          <w:color w:val="auto"/>
          <w:highlight w:val="none"/>
        </w:rPr>
      </w:pPr>
      <w:r>
        <w:rPr>
          <w:rFonts w:hint="eastAsia"/>
          <w:color w:val="auto"/>
          <w:highlight w:val="none"/>
        </w:rPr>
        <w:t>系统需</w:t>
      </w:r>
      <w:r>
        <w:rPr>
          <w:color w:val="auto"/>
          <w:highlight w:val="none"/>
        </w:rPr>
        <w:t>支持出血事件预警</w:t>
      </w:r>
      <w:r>
        <w:rPr>
          <w:rFonts w:hint="eastAsia"/>
          <w:color w:val="auto"/>
          <w:highlight w:val="none"/>
        </w:rPr>
        <w:t>。</w:t>
      </w:r>
    </w:p>
    <w:p w14:paraId="6DDB421E">
      <w:pPr>
        <w:pStyle w:val="45"/>
        <w:numPr>
          <w:ilvl w:val="0"/>
          <w:numId w:val="13"/>
        </w:numPr>
        <w:spacing w:before="0" w:beforeLines="0" w:after="0" w:afterLines="0"/>
        <w:rPr>
          <w:rFonts w:hint="eastAsia"/>
          <w:color w:val="auto"/>
          <w:highlight w:val="none"/>
        </w:rPr>
      </w:pPr>
      <w:r>
        <w:rPr>
          <w:rFonts w:hint="eastAsia"/>
          <w:color w:val="auto"/>
          <w:highlight w:val="none"/>
        </w:rPr>
        <w:t>系统需</w:t>
      </w:r>
      <w:r>
        <w:rPr>
          <w:color w:val="auto"/>
          <w:highlight w:val="none"/>
        </w:rPr>
        <w:t>提供VTE诊断筛查功能</w:t>
      </w:r>
      <w:r>
        <w:rPr>
          <w:rFonts w:hint="eastAsia"/>
          <w:color w:val="auto"/>
          <w:highlight w:val="none"/>
        </w:rPr>
        <w:t>，支持通过自然语言处理</w:t>
      </w:r>
      <w:r>
        <w:rPr>
          <w:color w:val="auto"/>
          <w:highlight w:val="none"/>
        </w:rPr>
        <w:t>NLP技术自动</w:t>
      </w:r>
      <w:r>
        <w:rPr>
          <w:rFonts w:hint="eastAsia"/>
          <w:color w:val="auto"/>
          <w:highlight w:val="none"/>
        </w:rPr>
        <w:t>分析</w:t>
      </w:r>
      <w:r>
        <w:rPr>
          <w:color w:val="auto"/>
          <w:highlight w:val="none"/>
        </w:rPr>
        <w:t>下肢静脉超声</w:t>
      </w:r>
      <w:r>
        <w:rPr>
          <w:rFonts w:hint="eastAsia"/>
          <w:color w:val="auto"/>
          <w:highlight w:val="none"/>
        </w:rPr>
        <w:t>报告、</w:t>
      </w:r>
      <w:r>
        <w:rPr>
          <w:color w:val="auto"/>
          <w:highlight w:val="none"/>
        </w:rPr>
        <w:t>CTPA</w:t>
      </w:r>
      <w:r>
        <w:rPr>
          <w:rFonts w:hint="eastAsia"/>
          <w:color w:val="auto"/>
          <w:highlight w:val="none"/>
        </w:rPr>
        <w:t>报告结果，自动</w:t>
      </w:r>
      <w:r>
        <w:rPr>
          <w:color w:val="auto"/>
          <w:highlight w:val="none"/>
        </w:rPr>
        <w:t>识别</w:t>
      </w:r>
      <w:r>
        <w:rPr>
          <w:rFonts w:hint="eastAsia"/>
          <w:color w:val="auto"/>
          <w:highlight w:val="none"/>
        </w:rPr>
        <w:t>检查</w:t>
      </w:r>
      <w:r>
        <w:rPr>
          <w:color w:val="auto"/>
          <w:highlight w:val="none"/>
        </w:rPr>
        <w:t>阳性患者，</w:t>
      </w:r>
      <w:r>
        <w:rPr>
          <w:rFonts w:hint="eastAsia"/>
          <w:color w:val="auto"/>
          <w:highlight w:val="none"/>
        </w:rPr>
        <w:t>并提供疑似诊断推荐。</w:t>
      </w:r>
    </w:p>
    <w:p w14:paraId="1CFFFB70">
      <w:pPr>
        <w:pStyle w:val="45"/>
        <w:numPr>
          <w:ilvl w:val="0"/>
          <w:numId w:val="13"/>
        </w:numPr>
        <w:spacing w:before="0" w:beforeLines="0" w:after="0" w:afterLines="0"/>
        <w:rPr>
          <w:color w:val="auto"/>
          <w:highlight w:val="none"/>
        </w:rPr>
      </w:pPr>
      <w:r>
        <w:rPr>
          <w:rFonts w:hint="eastAsia"/>
          <w:color w:val="auto"/>
          <w:highlight w:val="none"/>
        </w:rPr>
        <w:t>系统必须支持在同一界面查看诊断推荐的规则溯源，包括但不限于规则描述、文献来源、数据来源。</w:t>
      </w:r>
    </w:p>
    <w:p w14:paraId="235DC684">
      <w:pPr>
        <w:pStyle w:val="3"/>
        <w:spacing w:before="0" w:beforeLines="0" w:after="0" w:afterLines="0" w:line="360" w:lineRule="auto"/>
        <w:rPr>
          <w:color w:val="auto"/>
          <w:highlight w:val="none"/>
        </w:rPr>
      </w:pPr>
      <w:bookmarkStart w:id="9" w:name="_Toc18403"/>
      <w:r>
        <w:rPr>
          <w:color w:val="auto"/>
          <w:highlight w:val="none"/>
        </w:rPr>
        <w:t>VTE临床质量统计分析</w:t>
      </w:r>
      <w:bookmarkEnd w:id="9"/>
    </w:p>
    <w:p w14:paraId="5F956CB9">
      <w:pPr>
        <w:spacing w:before="0" w:beforeLines="0" w:after="0" w:afterLines="0"/>
        <w:ind w:firstLine="480"/>
        <w:rPr>
          <w:color w:val="auto"/>
          <w:highlight w:val="none"/>
        </w:rPr>
      </w:pPr>
      <w:r>
        <w:rPr>
          <w:rFonts w:hint="eastAsia"/>
          <w:color w:val="auto"/>
          <w:highlight w:val="none"/>
        </w:rPr>
        <w:t>系统需提供符合</w:t>
      </w:r>
      <w:r>
        <w:rPr>
          <w:color w:val="auto"/>
          <w:highlight w:val="none"/>
        </w:rPr>
        <w:t>《医院内静脉血栓栓塞症防治质量评价与管理建议（2022版）》</w:t>
      </w:r>
      <w:r>
        <w:rPr>
          <w:rFonts w:hint="eastAsia"/>
          <w:color w:val="auto"/>
          <w:highlight w:val="none"/>
        </w:rPr>
        <w:t>的</w:t>
      </w:r>
      <w:r>
        <w:rPr>
          <w:color w:val="auto"/>
          <w:highlight w:val="none"/>
        </w:rPr>
        <w:t>质量控制</w:t>
      </w:r>
      <w:r>
        <w:rPr>
          <w:rFonts w:hint="eastAsia"/>
          <w:color w:val="auto"/>
          <w:highlight w:val="none"/>
        </w:rPr>
        <w:t>指标。</w:t>
      </w:r>
    </w:p>
    <w:p w14:paraId="0278ECF2">
      <w:pPr>
        <w:pStyle w:val="4"/>
        <w:spacing w:before="0" w:beforeLines="0" w:after="0" w:afterLines="0" w:line="360" w:lineRule="auto"/>
        <w:rPr>
          <w:color w:val="auto"/>
          <w:highlight w:val="none"/>
        </w:rPr>
      </w:pPr>
      <w:bookmarkStart w:id="10" w:name="_Toc4399"/>
      <w:r>
        <w:rPr>
          <w:rFonts w:hint="eastAsia"/>
          <w:color w:val="auto"/>
          <w:highlight w:val="none"/>
        </w:rPr>
        <w:t>VTE智能报表首页</w:t>
      </w:r>
      <w:bookmarkEnd w:id="10"/>
    </w:p>
    <w:p w14:paraId="7426BD6D">
      <w:pPr>
        <w:numPr>
          <w:ilvl w:val="0"/>
          <w:numId w:val="14"/>
        </w:numPr>
        <w:spacing w:before="0" w:beforeLines="0" w:after="0" w:afterLines="0"/>
        <w:rPr>
          <w:color w:val="auto"/>
          <w:highlight w:val="none"/>
        </w:rPr>
      </w:pPr>
      <w:r>
        <w:rPr>
          <w:rFonts w:hint="eastAsia"/>
          <w:color w:val="auto"/>
          <w:highlight w:val="none"/>
        </w:rPr>
        <w:t>系统需提供报表首页。</w:t>
      </w:r>
    </w:p>
    <w:p w14:paraId="0D3E03AD">
      <w:pPr>
        <w:numPr>
          <w:ilvl w:val="0"/>
          <w:numId w:val="14"/>
        </w:numPr>
        <w:spacing w:before="0" w:beforeLines="0" w:after="0" w:afterLines="0"/>
        <w:rPr>
          <w:color w:val="auto"/>
          <w:highlight w:val="none"/>
        </w:rPr>
      </w:pPr>
      <w:r>
        <w:rPr>
          <w:rFonts w:hint="eastAsia"/>
          <w:color w:val="auto"/>
          <w:highlight w:val="none"/>
        </w:rPr>
        <w:t>系统需支持</w:t>
      </w:r>
      <w:r>
        <w:rPr>
          <w:color w:val="auto"/>
          <w:highlight w:val="none"/>
        </w:rPr>
        <w:t>集中展示监测指标数量、异常指标数量。</w:t>
      </w:r>
    </w:p>
    <w:p w14:paraId="1F1FBED2">
      <w:pPr>
        <w:numPr>
          <w:ilvl w:val="0"/>
          <w:numId w:val="14"/>
        </w:numPr>
        <w:spacing w:before="0" w:beforeLines="0" w:after="0" w:afterLines="0"/>
        <w:rPr>
          <w:color w:val="auto"/>
          <w:highlight w:val="none"/>
        </w:rPr>
      </w:pPr>
      <w:r>
        <w:rPr>
          <w:rFonts w:hint="eastAsia" w:cs="宋体"/>
          <w:color w:val="auto"/>
          <w:kern w:val="0"/>
          <w:szCs w:val="24"/>
          <w:highlight w:val="none"/>
        </w:rPr>
        <w:t>系统需支持集中展示重点监测指标，包括VTE风险评估率、VTE中高风险比例、出血风险评估率、VTE评分中高危患者实施预防措施率、医院相关性VTE规范治疗率、医院相关性VTE检出率等。</w:t>
      </w:r>
    </w:p>
    <w:p w14:paraId="1FE82FE5">
      <w:pPr>
        <w:numPr>
          <w:ilvl w:val="0"/>
          <w:numId w:val="14"/>
        </w:numPr>
        <w:spacing w:before="0" w:beforeLines="0" w:after="0" w:afterLines="0"/>
        <w:rPr>
          <w:color w:val="auto"/>
          <w:highlight w:val="none"/>
        </w:rPr>
      </w:pPr>
      <w:r>
        <w:rPr>
          <w:rFonts w:hint="eastAsia" w:cs="宋体"/>
          <w:color w:val="auto"/>
          <w:kern w:val="0"/>
          <w:szCs w:val="24"/>
          <w:highlight w:val="none"/>
        </w:rPr>
        <w:t>系统需支持集中展示患者分布情况、风险评估、预防措施、诊断检查、治疗措施的重要指标数据。</w:t>
      </w:r>
    </w:p>
    <w:p w14:paraId="2982211C">
      <w:pPr>
        <w:numPr>
          <w:ilvl w:val="0"/>
          <w:numId w:val="14"/>
        </w:numPr>
        <w:spacing w:before="0" w:beforeLines="0" w:after="0" w:afterLines="0"/>
        <w:rPr>
          <w:color w:val="auto"/>
          <w:highlight w:val="none"/>
        </w:rPr>
      </w:pPr>
      <w:r>
        <w:rPr>
          <w:rFonts w:hint="eastAsia" w:cs="宋体"/>
          <w:color w:val="auto"/>
          <w:kern w:val="0"/>
          <w:szCs w:val="24"/>
          <w:highlight w:val="none"/>
        </w:rPr>
        <w:t>系统需支持展示预防治疗全过程概览图。</w:t>
      </w:r>
    </w:p>
    <w:p w14:paraId="003CFC81">
      <w:pPr>
        <w:pStyle w:val="4"/>
        <w:spacing w:before="0" w:beforeLines="0" w:after="0" w:afterLines="0" w:line="360" w:lineRule="auto"/>
        <w:rPr>
          <w:color w:val="auto"/>
          <w:highlight w:val="none"/>
        </w:rPr>
      </w:pPr>
      <w:r>
        <w:rPr>
          <w:rFonts w:hint="eastAsia"/>
          <w:color w:val="auto"/>
          <w:highlight w:val="none"/>
        </w:rPr>
        <w:t>VTE患者分布指标</w:t>
      </w:r>
    </w:p>
    <w:p w14:paraId="3EAF7F5C">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系统需支持统计并展示预防人群、医院相关性VTE患者指标。</w:t>
      </w:r>
    </w:p>
    <w:p w14:paraId="6DB5C37D">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系统需支持展示重症患者分布指标。</w:t>
      </w:r>
    </w:p>
    <w:p w14:paraId="71197D2E">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系统需支持展示骨科手术患者分布指标。</w:t>
      </w:r>
    </w:p>
    <w:p w14:paraId="79E447C4">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系统需支持展示肿瘤手术患者分布指标。</w:t>
      </w:r>
    </w:p>
    <w:p w14:paraId="45A2265C">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系统需支持展示因急性内科疾病而住院的患者分布指标。</w:t>
      </w:r>
    </w:p>
    <w:p w14:paraId="78A67082">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系统需支持易栓塞患者分布指标。</w:t>
      </w:r>
    </w:p>
    <w:p w14:paraId="24372A4F">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系统需支持妇科和产科患者分布指标。</w:t>
      </w:r>
    </w:p>
    <w:p w14:paraId="735ECE92">
      <w:pPr>
        <w:numPr>
          <w:ilvl w:val="0"/>
          <w:numId w:val="15"/>
        </w:numPr>
        <w:spacing w:before="0" w:beforeLines="0" w:after="0" w:afterLines="0"/>
        <w:rPr>
          <w:rFonts w:cs="宋体"/>
          <w:color w:val="auto"/>
          <w:kern w:val="0"/>
          <w:szCs w:val="24"/>
          <w:highlight w:val="none"/>
        </w:rPr>
      </w:pPr>
      <w:r>
        <w:rPr>
          <w:rFonts w:hint="eastAsia" w:cs="宋体"/>
          <w:color w:val="auto"/>
          <w:kern w:val="0"/>
          <w:szCs w:val="24"/>
          <w:highlight w:val="none"/>
        </w:rPr>
        <w:t>系统需支持住院时间较长或年龄较大患者分布指标。</w:t>
      </w:r>
    </w:p>
    <w:p w14:paraId="1727A7E2">
      <w:pPr>
        <w:pStyle w:val="4"/>
        <w:spacing w:before="0" w:beforeLines="0" w:after="0" w:afterLines="0" w:line="360" w:lineRule="auto"/>
        <w:rPr>
          <w:color w:val="auto"/>
          <w:highlight w:val="none"/>
        </w:rPr>
      </w:pPr>
      <w:bookmarkStart w:id="11" w:name="_Toc2226"/>
      <w:r>
        <w:rPr>
          <w:rFonts w:hint="eastAsia"/>
          <w:color w:val="auto"/>
          <w:highlight w:val="none"/>
        </w:rPr>
        <w:t>VTE风险评估质量指标</w:t>
      </w:r>
      <w:bookmarkEnd w:id="11"/>
    </w:p>
    <w:p w14:paraId="676051DB">
      <w:pPr>
        <w:numPr>
          <w:ilvl w:val="0"/>
          <w:numId w:val="16"/>
        </w:numPr>
        <w:spacing w:before="0" w:beforeLines="0" w:after="0" w:afterLines="0"/>
        <w:rPr>
          <w:color w:val="auto"/>
          <w:highlight w:val="none"/>
        </w:rPr>
      </w:pPr>
      <w:r>
        <w:rPr>
          <w:rFonts w:hint="eastAsia"/>
          <w:color w:val="auto"/>
          <w:highlight w:val="none"/>
        </w:rPr>
        <w:t>系统需支持展示VTE风险评估质量指标。</w:t>
      </w:r>
    </w:p>
    <w:p w14:paraId="753126B5">
      <w:pPr>
        <w:numPr>
          <w:ilvl w:val="0"/>
          <w:numId w:val="16"/>
        </w:numPr>
        <w:spacing w:before="0" w:beforeLines="0" w:after="0" w:afterLines="0"/>
        <w:rPr>
          <w:color w:val="auto"/>
          <w:highlight w:val="none"/>
        </w:rPr>
      </w:pPr>
      <w:r>
        <w:rPr>
          <w:rFonts w:hint="eastAsia"/>
          <w:color w:val="auto"/>
          <w:highlight w:val="none"/>
        </w:rPr>
        <w:t>系统需支持展示出血风险评估质量指标。</w:t>
      </w:r>
    </w:p>
    <w:p w14:paraId="79A6DA06">
      <w:pPr>
        <w:numPr>
          <w:ilvl w:val="0"/>
          <w:numId w:val="16"/>
        </w:numPr>
        <w:spacing w:before="0" w:beforeLines="0" w:after="0" w:afterLines="0"/>
        <w:rPr>
          <w:color w:val="auto"/>
          <w:highlight w:val="none"/>
        </w:rPr>
      </w:pPr>
      <w:r>
        <w:rPr>
          <w:rFonts w:hint="eastAsia"/>
          <w:color w:val="auto"/>
          <w:highlight w:val="none"/>
        </w:rPr>
        <w:t>系统需支持展示VTE风险规范评估质量指标。</w:t>
      </w:r>
    </w:p>
    <w:p w14:paraId="11070428">
      <w:pPr>
        <w:numPr>
          <w:ilvl w:val="0"/>
          <w:numId w:val="16"/>
        </w:numPr>
        <w:spacing w:before="0" w:beforeLines="0" w:after="0" w:afterLines="0"/>
        <w:rPr>
          <w:color w:val="auto"/>
          <w:highlight w:val="none"/>
        </w:rPr>
      </w:pPr>
      <w:r>
        <w:rPr>
          <w:rFonts w:hint="eastAsia"/>
          <w:color w:val="auto"/>
          <w:highlight w:val="none"/>
        </w:rPr>
        <w:t>系统需支持区分展示</w:t>
      </w:r>
      <w:r>
        <w:rPr>
          <w:rFonts w:hint="eastAsia"/>
          <w:color w:val="auto"/>
          <w:highlight w:val="none"/>
          <w:lang w:eastAsia="zh-Hans"/>
        </w:rPr>
        <w:t>不少于</w:t>
      </w:r>
      <w:r>
        <w:rPr>
          <w:color w:val="auto"/>
          <w:highlight w:val="none"/>
          <w:lang w:eastAsia="zh-Hans"/>
        </w:rPr>
        <w:t>7</w:t>
      </w:r>
      <w:r>
        <w:rPr>
          <w:rFonts w:hint="eastAsia"/>
          <w:color w:val="auto"/>
          <w:highlight w:val="none"/>
        </w:rPr>
        <w:t>种</w:t>
      </w:r>
      <w:r>
        <w:rPr>
          <w:rFonts w:hint="eastAsia"/>
          <w:color w:val="auto"/>
          <w:highlight w:val="none"/>
          <w:lang w:eastAsia="zh-Hans"/>
        </w:rPr>
        <w:t>人群</w:t>
      </w:r>
      <w:r>
        <w:rPr>
          <w:rFonts w:hint="eastAsia"/>
          <w:color w:val="auto"/>
          <w:highlight w:val="none"/>
        </w:rPr>
        <w:t>VTE风险评估指标、出血风险评估指标、VTE风险规范评估指标。</w:t>
      </w:r>
    </w:p>
    <w:p w14:paraId="55371C44">
      <w:pPr>
        <w:numPr>
          <w:ilvl w:val="0"/>
          <w:numId w:val="16"/>
        </w:numPr>
        <w:spacing w:before="0" w:beforeLines="0" w:after="0" w:afterLines="0"/>
        <w:rPr>
          <w:color w:val="auto"/>
          <w:highlight w:val="none"/>
        </w:rPr>
      </w:pPr>
      <w:r>
        <w:rPr>
          <w:rFonts w:hint="eastAsia" w:cs="宋体"/>
          <w:color w:val="auto"/>
          <w:kern w:val="0"/>
          <w:szCs w:val="24"/>
          <w:highlight w:val="none"/>
        </w:rPr>
        <w:t>系统需支持根据不同的评估时机进行VTE风险评估统计。支持筛选患者进行统计，根据不同的评估时机统计患者数据，支持查看比率和具体的数据统计，支持导出下载不同维度的统计数据。</w:t>
      </w:r>
    </w:p>
    <w:p w14:paraId="3E443D36">
      <w:pPr>
        <w:numPr>
          <w:ilvl w:val="0"/>
          <w:numId w:val="16"/>
        </w:numPr>
        <w:spacing w:before="0" w:beforeLines="0" w:after="0" w:afterLines="0"/>
        <w:rPr>
          <w:color w:val="auto"/>
          <w:highlight w:val="none"/>
        </w:rPr>
      </w:pPr>
      <w:r>
        <w:rPr>
          <w:rFonts w:hint="eastAsia" w:cs="宋体"/>
          <w:color w:val="auto"/>
          <w:kern w:val="0"/>
          <w:szCs w:val="24"/>
          <w:highlight w:val="none"/>
        </w:rPr>
        <w:t>系统需支持根据不同的评估时机进行出血风险评估统计。支持筛选患者进行统计，根据不同的评估时机统计患者数据，支持查看比率和具体的数据统计，支持导出下载不同维度的统计数据。</w:t>
      </w:r>
    </w:p>
    <w:p w14:paraId="5AED18A8">
      <w:pPr>
        <w:numPr>
          <w:ilvl w:val="0"/>
          <w:numId w:val="16"/>
        </w:numPr>
        <w:spacing w:before="0" w:beforeLines="0" w:after="0" w:afterLines="0"/>
        <w:rPr>
          <w:color w:val="auto"/>
          <w:highlight w:val="none"/>
        </w:rPr>
      </w:pPr>
      <w:r>
        <w:rPr>
          <w:rFonts w:hint="eastAsia"/>
          <w:color w:val="auto"/>
          <w:highlight w:val="none"/>
        </w:rPr>
        <w:t>系统需支持风险评估指标层层下钻，支持可视化展示风险评估指标，支持导出指标图片。</w:t>
      </w:r>
    </w:p>
    <w:p w14:paraId="54D7CF47">
      <w:pPr>
        <w:numPr>
          <w:ilvl w:val="0"/>
          <w:numId w:val="16"/>
        </w:numPr>
        <w:spacing w:before="0" w:beforeLines="0" w:after="0" w:afterLines="0"/>
        <w:rPr>
          <w:color w:val="auto"/>
          <w:highlight w:val="none"/>
        </w:rPr>
      </w:pPr>
      <w:r>
        <w:rPr>
          <w:rFonts w:hint="eastAsia"/>
          <w:color w:val="auto"/>
          <w:highlight w:val="none"/>
        </w:rPr>
        <w:t>系统需支持查看构成质量指标分子、分母的患者列表；支持展示患者基本信息；支持以Excel格式导出患者列表清单。</w:t>
      </w:r>
    </w:p>
    <w:p w14:paraId="6A2AED04">
      <w:pPr>
        <w:numPr>
          <w:ilvl w:val="0"/>
          <w:numId w:val="16"/>
        </w:numPr>
        <w:spacing w:before="0" w:beforeLines="0" w:after="0" w:afterLines="0"/>
        <w:rPr>
          <w:color w:val="auto"/>
          <w:highlight w:val="none"/>
        </w:rPr>
      </w:pPr>
      <w:r>
        <w:rPr>
          <w:color w:val="auto"/>
          <w:highlight w:val="none"/>
        </w:rPr>
        <w:t>在系统运行过程中，支持对未评估患者进行一键发布提醒功能</w:t>
      </w:r>
      <w:r>
        <w:rPr>
          <w:rFonts w:hint="eastAsia"/>
          <w:color w:val="auto"/>
          <w:highlight w:val="none"/>
        </w:rPr>
        <w:t>。</w:t>
      </w:r>
    </w:p>
    <w:p w14:paraId="7637C65C">
      <w:pPr>
        <w:numPr>
          <w:ilvl w:val="0"/>
          <w:numId w:val="16"/>
        </w:numPr>
        <w:spacing w:before="0" w:beforeLines="0" w:after="0" w:afterLines="0"/>
        <w:rPr>
          <w:color w:val="auto"/>
          <w:highlight w:val="none"/>
        </w:rPr>
      </w:pPr>
      <w:r>
        <w:rPr>
          <w:rFonts w:hint="eastAsia" w:cs="宋体"/>
          <w:color w:val="auto"/>
          <w:kern w:val="0"/>
          <w:szCs w:val="24"/>
          <w:highlight w:val="none"/>
        </w:rPr>
        <w:t>系统需支持展示指标的定义描述。</w:t>
      </w:r>
    </w:p>
    <w:p w14:paraId="54C1A305">
      <w:pPr>
        <w:numPr>
          <w:ilvl w:val="0"/>
          <w:numId w:val="16"/>
        </w:numPr>
        <w:spacing w:before="0" w:beforeLines="0" w:after="0" w:afterLines="0"/>
        <w:rPr>
          <w:color w:val="auto"/>
          <w:highlight w:val="none"/>
        </w:rPr>
      </w:pPr>
      <w:r>
        <w:rPr>
          <w:rFonts w:hint="eastAsia"/>
          <w:color w:val="auto"/>
          <w:highlight w:val="none"/>
        </w:rPr>
        <w:t>系统需支持用户自定义收藏重点指标。</w:t>
      </w:r>
    </w:p>
    <w:p w14:paraId="2397CA5D">
      <w:pPr>
        <w:numPr>
          <w:ilvl w:val="0"/>
          <w:numId w:val="16"/>
        </w:numPr>
        <w:spacing w:before="0" w:beforeLines="0" w:after="0" w:afterLines="0"/>
        <w:rPr>
          <w:color w:val="auto"/>
          <w:highlight w:val="none"/>
        </w:rPr>
      </w:pPr>
      <w:r>
        <w:rPr>
          <w:rFonts w:hint="eastAsia"/>
          <w:color w:val="auto"/>
          <w:highlight w:val="none"/>
        </w:rPr>
        <w:t>系统需支持用户自定义指标标签。</w:t>
      </w:r>
    </w:p>
    <w:p w14:paraId="113B1992">
      <w:pPr>
        <w:numPr>
          <w:ilvl w:val="0"/>
          <w:numId w:val="16"/>
        </w:numPr>
        <w:spacing w:before="0" w:beforeLines="0" w:after="0" w:afterLines="0"/>
        <w:rPr>
          <w:color w:val="auto"/>
          <w:highlight w:val="none"/>
        </w:rPr>
      </w:pPr>
      <w:r>
        <w:rPr>
          <w:rFonts w:hint="eastAsia"/>
          <w:color w:val="auto"/>
          <w:highlight w:val="none"/>
        </w:rPr>
        <w:t>系统需支持设置质量指标的警戒值，支持异常指标区分显示。</w:t>
      </w:r>
    </w:p>
    <w:p w14:paraId="2350A9F7">
      <w:pPr>
        <w:pStyle w:val="4"/>
        <w:spacing w:before="0" w:beforeLines="0" w:after="0" w:afterLines="0" w:line="360" w:lineRule="auto"/>
        <w:rPr>
          <w:color w:val="auto"/>
          <w:highlight w:val="none"/>
        </w:rPr>
      </w:pPr>
      <w:bookmarkStart w:id="12" w:name="_Toc13087"/>
      <w:r>
        <w:rPr>
          <w:rFonts w:hint="eastAsia"/>
          <w:color w:val="auto"/>
          <w:highlight w:val="none"/>
        </w:rPr>
        <w:t>VTE预防质量指标</w:t>
      </w:r>
      <w:bookmarkEnd w:id="12"/>
    </w:p>
    <w:p w14:paraId="68953DD9">
      <w:pPr>
        <w:numPr>
          <w:ilvl w:val="0"/>
          <w:numId w:val="17"/>
        </w:numPr>
        <w:spacing w:before="0" w:beforeLines="0" w:after="0" w:afterLines="0"/>
        <w:rPr>
          <w:color w:val="auto"/>
          <w:highlight w:val="none"/>
        </w:rPr>
      </w:pPr>
      <w:r>
        <w:rPr>
          <w:rFonts w:hint="eastAsia" w:cs="宋体"/>
          <w:color w:val="auto"/>
          <w:kern w:val="0"/>
          <w:szCs w:val="24"/>
          <w:highlight w:val="none"/>
        </w:rPr>
        <w:t>系统需支持展示VTE预防措施质量指标，要求不低于3个比率类指标。</w:t>
      </w:r>
    </w:p>
    <w:p w14:paraId="407294DC">
      <w:pPr>
        <w:numPr>
          <w:ilvl w:val="0"/>
          <w:numId w:val="17"/>
        </w:numPr>
        <w:spacing w:before="0" w:beforeLines="0" w:after="0" w:afterLines="0"/>
        <w:rPr>
          <w:color w:val="auto"/>
          <w:highlight w:val="none"/>
        </w:rPr>
      </w:pPr>
      <w:r>
        <w:rPr>
          <w:rFonts w:hint="eastAsia"/>
          <w:color w:val="auto"/>
          <w:highlight w:val="none"/>
        </w:rPr>
        <w:t>系统需支持展示药物预防质量指标。</w:t>
      </w:r>
    </w:p>
    <w:p w14:paraId="06C58C66">
      <w:pPr>
        <w:numPr>
          <w:ilvl w:val="0"/>
          <w:numId w:val="17"/>
        </w:numPr>
        <w:spacing w:before="0" w:beforeLines="0" w:after="0" w:afterLines="0"/>
        <w:rPr>
          <w:color w:val="auto"/>
          <w:highlight w:val="none"/>
        </w:rPr>
      </w:pPr>
      <w:r>
        <w:rPr>
          <w:rFonts w:hint="eastAsia"/>
          <w:color w:val="auto"/>
          <w:highlight w:val="none"/>
        </w:rPr>
        <w:t>系统需支持展示机械预防质量指标。</w:t>
      </w:r>
    </w:p>
    <w:p w14:paraId="63A7DBAD">
      <w:pPr>
        <w:numPr>
          <w:ilvl w:val="0"/>
          <w:numId w:val="17"/>
        </w:numPr>
        <w:spacing w:before="0" w:beforeLines="0" w:after="0" w:afterLines="0"/>
        <w:rPr>
          <w:color w:val="auto"/>
          <w:highlight w:val="none"/>
        </w:rPr>
      </w:pPr>
      <w:r>
        <w:rPr>
          <w:rFonts w:hint="eastAsia"/>
          <w:color w:val="auto"/>
          <w:highlight w:val="none"/>
        </w:rPr>
        <w:t>系统需支持展示联合预防质量指标。</w:t>
      </w:r>
    </w:p>
    <w:p w14:paraId="39A365A6">
      <w:pPr>
        <w:numPr>
          <w:ilvl w:val="0"/>
          <w:numId w:val="17"/>
        </w:numPr>
        <w:spacing w:before="0" w:beforeLines="0" w:after="0" w:afterLines="0"/>
        <w:rPr>
          <w:color w:val="auto"/>
          <w:highlight w:val="none"/>
        </w:rPr>
      </w:pPr>
      <w:r>
        <w:rPr>
          <w:rFonts w:hint="eastAsia"/>
          <w:color w:val="auto"/>
          <w:highlight w:val="none"/>
        </w:rPr>
        <w:t>系统需支持区分展示重点人群的预防质量指标，重点人群应包括重症患者、骨科手术患者、肿瘤手术患者、因急性内科疾病而住院的患者、易栓症患者、妇科和产科患者、住院时间较长或年龄较大患者。</w:t>
      </w:r>
    </w:p>
    <w:p w14:paraId="4C7F5710">
      <w:pPr>
        <w:numPr>
          <w:ilvl w:val="0"/>
          <w:numId w:val="17"/>
        </w:numPr>
        <w:spacing w:before="0" w:beforeLines="0" w:after="0" w:afterLines="0"/>
        <w:rPr>
          <w:color w:val="auto"/>
          <w:highlight w:val="none"/>
        </w:rPr>
      </w:pPr>
      <w:r>
        <w:rPr>
          <w:rFonts w:hint="eastAsia" w:cs="宋体"/>
          <w:color w:val="auto"/>
          <w:kern w:val="0"/>
          <w:szCs w:val="24"/>
          <w:highlight w:val="none"/>
        </w:rPr>
        <w:t>系统需支持展示VTE评分中高危患者实施预防措施质量指标。</w:t>
      </w:r>
    </w:p>
    <w:p w14:paraId="4C3BDEC6">
      <w:pPr>
        <w:numPr>
          <w:ilvl w:val="0"/>
          <w:numId w:val="17"/>
        </w:numPr>
        <w:spacing w:before="0" w:beforeLines="0" w:after="0" w:afterLines="0"/>
        <w:rPr>
          <w:color w:val="auto"/>
          <w:highlight w:val="none"/>
        </w:rPr>
      </w:pPr>
      <w:r>
        <w:rPr>
          <w:rFonts w:hint="eastAsia" w:cs="宋体"/>
          <w:color w:val="auto"/>
          <w:kern w:val="0"/>
          <w:szCs w:val="24"/>
          <w:highlight w:val="none"/>
        </w:rPr>
        <w:t>系统需支持展示采取合理VTE预防措施质量指标。</w:t>
      </w:r>
    </w:p>
    <w:p w14:paraId="2FDE233A">
      <w:pPr>
        <w:numPr>
          <w:ilvl w:val="0"/>
          <w:numId w:val="17"/>
        </w:numPr>
        <w:spacing w:before="0" w:beforeLines="0" w:after="0" w:afterLines="0"/>
        <w:rPr>
          <w:color w:val="auto"/>
          <w:highlight w:val="none"/>
        </w:rPr>
      </w:pPr>
      <w:r>
        <w:rPr>
          <w:rFonts w:hint="eastAsia"/>
          <w:color w:val="auto"/>
          <w:highlight w:val="none"/>
        </w:rPr>
        <w:t>系统需支持预防质量指标层层下钻，支持可视化展示预防质量指标，支持导出指标图片。</w:t>
      </w:r>
    </w:p>
    <w:p w14:paraId="77FA44FA">
      <w:pPr>
        <w:numPr>
          <w:ilvl w:val="0"/>
          <w:numId w:val="17"/>
        </w:numPr>
        <w:spacing w:before="0" w:beforeLines="0" w:after="0" w:afterLines="0"/>
        <w:rPr>
          <w:color w:val="auto"/>
          <w:highlight w:val="none"/>
        </w:rPr>
      </w:pPr>
      <w:r>
        <w:rPr>
          <w:rFonts w:hint="eastAsia"/>
          <w:color w:val="auto"/>
          <w:highlight w:val="none"/>
        </w:rPr>
        <w:t>系统需支持查看构成预防质量指标分子、分母的患者列表；支持展示患者基本信息；支持以Excel格式导出患者列表清单。</w:t>
      </w:r>
    </w:p>
    <w:p w14:paraId="57353403">
      <w:pPr>
        <w:pStyle w:val="45"/>
        <w:widowControl/>
        <w:numPr>
          <w:ilvl w:val="0"/>
          <w:numId w:val="17"/>
        </w:numPr>
        <w:spacing w:before="0" w:beforeLines="0" w:after="0" w:afterLines="0"/>
        <w:jc w:val="left"/>
        <w:rPr>
          <w:rFonts w:cs="宋体"/>
          <w:color w:val="auto"/>
          <w:kern w:val="0"/>
          <w:highlight w:val="none"/>
        </w:rPr>
      </w:pPr>
      <w:r>
        <w:rPr>
          <w:rFonts w:hint="eastAsia" w:cs="宋体"/>
          <w:color w:val="auto"/>
          <w:kern w:val="0"/>
          <w:highlight w:val="none"/>
        </w:rPr>
        <w:t>系统需支持展示指标定义的描述。</w:t>
      </w:r>
    </w:p>
    <w:p w14:paraId="2F194769">
      <w:pPr>
        <w:numPr>
          <w:ilvl w:val="0"/>
          <w:numId w:val="17"/>
        </w:numPr>
        <w:spacing w:before="0" w:beforeLines="0" w:after="0" w:afterLines="0"/>
        <w:rPr>
          <w:color w:val="auto"/>
          <w:highlight w:val="none"/>
        </w:rPr>
      </w:pPr>
      <w:r>
        <w:rPr>
          <w:rFonts w:hint="eastAsia"/>
          <w:color w:val="auto"/>
          <w:highlight w:val="none"/>
        </w:rPr>
        <w:t>系统需支持用户自定义收藏重点指标。</w:t>
      </w:r>
    </w:p>
    <w:p w14:paraId="77D54555">
      <w:pPr>
        <w:numPr>
          <w:ilvl w:val="0"/>
          <w:numId w:val="17"/>
        </w:numPr>
        <w:spacing w:before="0" w:beforeLines="0" w:after="0" w:afterLines="0"/>
        <w:rPr>
          <w:color w:val="auto"/>
          <w:highlight w:val="none"/>
        </w:rPr>
      </w:pPr>
      <w:r>
        <w:rPr>
          <w:rFonts w:hint="eastAsia"/>
          <w:color w:val="auto"/>
          <w:highlight w:val="none"/>
        </w:rPr>
        <w:t>系统需支持用户自定义指标标签。</w:t>
      </w:r>
    </w:p>
    <w:p w14:paraId="4BD1C4F1">
      <w:pPr>
        <w:numPr>
          <w:ilvl w:val="0"/>
          <w:numId w:val="17"/>
        </w:numPr>
        <w:spacing w:before="0" w:beforeLines="0" w:after="0" w:afterLines="0"/>
        <w:rPr>
          <w:color w:val="auto"/>
          <w:highlight w:val="none"/>
        </w:rPr>
      </w:pPr>
      <w:r>
        <w:rPr>
          <w:rFonts w:hint="eastAsia"/>
          <w:color w:val="auto"/>
          <w:highlight w:val="none"/>
        </w:rPr>
        <w:t>系统需支持设置预防质量指标的警戒值，支持异常指标区分显示。</w:t>
      </w:r>
    </w:p>
    <w:p w14:paraId="497D1D27">
      <w:pPr>
        <w:pStyle w:val="4"/>
        <w:spacing w:before="0" w:beforeLines="0" w:after="0" w:afterLines="0" w:line="360" w:lineRule="auto"/>
        <w:rPr>
          <w:color w:val="auto"/>
          <w:highlight w:val="none"/>
        </w:rPr>
      </w:pPr>
      <w:r>
        <w:rPr>
          <w:rFonts w:hint="eastAsia"/>
          <w:color w:val="auto"/>
          <w:highlight w:val="none"/>
        </w:rPr>
        <w:t>VTE诊断检查指标</w:t>
      </w:r>
    </w:p>
    <w:p w14:paraId="5FD44592">
      <w:pPr>
        <w:numPr>
          <w:ilvl w:val="0"/>
          <w:numId w:val="18"/>
        </w:numPr>
        <w:spacing w:before="0" w:beforeLines="0" w:after="0" w:afterLines="0"/>
        <w:rPr>
          <w:color w:val="auto"/>
          <w:highlight w:val="none"/>
        </w:rPr>
      </w:pPr>
      <w:r>
        <w:rPr>
          <w:rFonts w:hint="eastAsia"/>
          <w:color w:val="auto"/>
          <w:highlight w:val="none"/>
        </w:rPr>
        <w:t>系统需支持查看静脉超声检测统计比率、具体数据、统计数据；支持按照院区、科室、病区、入院时间进行筛选；支持下载不同维度的统计数据、图表。</w:t>
      </w:r>
    </w:p>
    <w:p w14:paraId="6D7DDB29">
      <w:pPr>
        <w:numPr>
          <w:ilvl w:val="0"/>
          <w:numId w:val="18"/>
        </w:numPr>
        <w:spacing w:before="0" w:beforeLines="0" w:after="0" w:afterLines="0"/>
        <w:rPr>
          <w:color w:val="auto"/>
          <w:highlight w:val="none"/>
        </w:rPr>
      </w:pPr>
      <w:r>
        <w:rPr>
          <w:rFonts w:hint="eastAsia"/>
          <w:color w:val="auto"/>
          <w:highlight w:val="none"/>
        </w:rPr>
        <w:t>系统需支持查看CTPA检查比率、具体数据、统计数据；支持按照院区、科室、病区、入院时间进行筛选；支持下载不同维度的统计数据、图表。</w:t>
      </w:r>
    </w:p>
    <w:p w14:paraId="104DAE08">
      <w:pPr>
        <w:numPr>
          <w:ilvl w:val="0"/>
          <w:numId w:val="18"/>
        </w:numPr>
        <w:spacing w:before="0" w:beforeLines="0" w:after="0" w:afterLines="0"/>
        <w:rPr>
          <w:color w:val="auto"/>
          <w:highlight w:val="none"/>
        </w:rPr>
      </w:pPr>
      <w:r>
        <w:rPr>
          <w:rFonts w:hint="eastAsia"/>
          <w:color w:val="auto"/>
          <w:highlight w:val="none"/>
        </w:rPr>
        <w:t>系统需支持查看D-二聚体检查率统计比率、具体数据、统计数据；支持按照院区、科室、病区、入院时间进行筛选；支持下载不同维度的统计数据、图表。</w:t>
      </w:r>
    </w:p>
    <w:p w14:paraId="0F1A1F62">
      <w:pPr>
        <w:pStyle w:val="4"/>
        <w:spacing w:before="0" w:beforeLines="0" w:after="0" w:afterLines="0" w:line="360" w:lineRule="auto"/>
        <w:rPr>
          <w:color w:val="auto"/>
          <w:highlight w:val="none"/>
        </w:rPr>
      </w:pPr>
      <w:r>
        <w:rPr>
          <w:rFonts w:hint="eastAsia"/>
          <w:color w:val="auto"/>
          <w:highlight w:val="none"/>
        </w:rPr>
        <w:t>VTE治疗质量指标</w:t>
      </w:r>
    </w:p>
    <w:p w14:paraId="7832A819">
      <w:pPr>
        <w:numPr>
          <w:ilvl w:val="0"/>
          <w:numId w:val="19"/>
        </w:numPr>
        <w:spacing w:before="0" w:beforeLines="0" w:after="0" w:afterLines="0"/>
        <w:rPr>
          <w:color w:val="auto"/>
          <w:highlight w:val="none"/>
        </w:rPr>
      </w:pPr>
      <w:r>
        <w:rPr>
          <w:rFonts w:hint="eastAsia"/>
          <w:color w:val="auto"/>
          <w:highlight w:val="none"/>
        </w:rPr>
        <w:t>系统需支持展示医院相关性VTE治疗质量指标，要求不低于5个比率类指标。</w:t>
      </w:r>
    </w:p>
    <w:p w14:paraId="4A67BB72">
      <w:pPr>
        <w:numPr>
          <w:ilvl w:val="0"/>
          <w:numId w:val="19"/>
        </w:numPr>
        <w:spacing w:before="0" w:beforeLines="0" w:after="0" w:afterLines="0"/>
        <w:rPr>
          <w:color w:val="auto"/>
          <w:highlight w:val="none"/>
        </w:rPr>
      </w:pPr>
      <w:r>
        <w:rPr>
          <w:rFonts w:hint="eastAsia"/>
          <w:color w:val="auto"/>
          <w:highlight w:val="none"/>
        </w:rPr>
        <w:t>系统需支持查看至少2种VTE患者实施治疗指标。</w:t>
      </w:r>
    </w:p>
    <w:p w14:paraId="088EE1B4">
      <w:pPr>
        <w:numPr>
          <w:ilvl w:val="0"/>
          <w:numId w:val="19"/>
        </w:numPr>
        <w:spacing w:before="0" w:beforeLines="0" w:after="0" w:afterLines="0"/>
        <w:rPr>
          <w:color w:val="auto"/>
          <w:highlight w:val="none"/>
        </w:rPr>
      </w:pPr>
      <w:r>
        <w:rPr>
          <w:rFonts w:hint="eastAsia"/>
          <w:color w:val="auto"/>
          <w:highlight w:val="none"/>
        </w:rPr>
        <w:t>系统需支持查看肺动脉造影统计比率、具体数据、统计数据，支持下载不同维度的统计数据、图表可以下载。</w:t>
      </w:r>
    </w:p>
    <w:p w14:paraId="6C756F55">
      <w:pPr>
        <w:numPr>
          <w:ilvl w:val="0"/>
          <w:numId w:val="19"/>
        </w:numPr>
        <w:spacing w:before="0" w:beforeLines="0" w:after="0" w:afterLines="0"/>
        <w:rPr>
          <w:color w:val="auto"/>
          <w:highlight w:val="none"/>
        </w:rPr>
      </w:pPr>
      <w:r>
        <w:rPr>
          <w:rFonts w:hint="eastAsia"/>
          <w:color w:val="auto"/>
          <w:highlight w:val="none"/>
        </w:rPr>
        <w:t>系统需支持治疗质量指标层层下钻，支持可视化展示治疗质量指标，支持导出指标图片。</w:t>
      </w:r>
    </w:p>
    <w:p w14:paraId="703D11E0">
      <w:pPr>
        <w:numPr>
          <w:ilvl w:val="0"/>
          <w:numId w:val="19"/>
        </w:numPr>
        <w:spacing w:before="0" w:beforeLines="0" w:after="0" w:afterLines="0"/>
        <w:rPr>
          <w:color w:val="auto"/>
          <w:highlight w:val="none"/>
        </w:rPr>
      </w:pPr>
      <w:r>
        <w:rPr>
          <w:rFonts w:hint="eastAsia"/>
          <w:color w:val="auto"/>
          <w:highlight w:val="none"/>
        </w:rPr>
        <w:t>系统需支持查看构成治疗质量指标分子、分母的患者列表；支持展示患者基本信息；支持以Excel格式导出患者列表清单。</w:t>
      </w:r>
    </w:p>
    <w:p w14:paraId="71E3C445">
      <w:pPr>
        <w:numPr>
          <w:ilvl w:val="0"/>
          <w:numId w:val="19"/>
        </w:numPr>
        <w:spacing w:before="0" w:beforeLines="0" w:after="0" w:afterLines="0"/>
        <w:rPr>
          <w:color w:val="auto"/>
          <w:highlight w:val="none"/>
        </w:rPr>
      </w:pPr>
      <w:r>
        <w:rPr>
          <w:rFonts w:hint="eastAsia"/>
          <w:color w:val="auto"/>
          <w:highlight w:val="none"/>
        </w:rPr>
        <w:t>系统需支持展示指标定义的描述。</w:t>
      </w:r>
    </w:p>
    <w:p w14:paraId="49ED7BAF">
      <w:pPr>
        <w:numPr>
          <w:ilvl w:val="0"/>
          <w:numId w:val="19"/>
        </w:numPr>
        <w:spacing w:before="0" w:beforeLines="0" w:after="0" w:afterLines="0"/>
        <w:rPr>
          <w:color w:val="auto"/>
          <w:highlight w:val="none"/>
        </w:rPr>
      </w:pPr>
      <w:r>
        <w:rPr>
          <w:rFonts w:hint="eastAsia"/>
          <w:color w:val="auto"/>
          <w:highlight w:val="none"/>
        </w:rPr>
        <w:t>系统需支持用户自定义收藏重点指标。</w:t>
      </w:r>
    </w:p>
    <w:p w14:paraId="36AEC2B7">
      <w:pPr>
        <w:numPr>
          <w:ilvl w:val="0"/>
          <w:numId w:val="19"/>
        </w:numPr>
        <w:spacing w:before="0" w:beforeLines="0" w:after="0" w:afterLines="0"/>
        <w:rPr>
          <w:color w:val="auto"/>
          <w:highlight w:val="none"/>
        </w:rPr>
      </w:pPr>
      <w:r>
        <w:rPr>
          <w:rFonts w:hint="eastAsia"/>
          <w:color w:val="auto"/>
          <w:highlight w:val="none"/>
        </w:rPr>
        <w:t>系统需支持用户自定义指标标签。</w:t>
      </w:r>
    </w:p>
    <w:p w14:paraId="6970ADA9">
      <w:pPr>
        <w:numPr>
          <w:ilvl w:val="0"/>
          <w:numId w:val="19"/>
        </w:numPr>
        <w:spacing w:before="0" w:beforeLines="0" w:after="0" w:afterLines="0"/>
        <w:rPr>
          <w:color w:val="auto"/>
          <w:highlight w:val="none"/>
        </w:rPr>
      </w:pPr>
      <w:r>
        <w:rPr>
          <w:rFonts w:hint="eastAsia"/>
          <w:color w:val="auto"/>
          <w:highlight w:val="none"/>
        </w:rPr>
        <w:t>系统需支持设置治疗质量指标的警戒值，支持异常指标区分显示。</w:t>
      </w:r>
    </w:p>
    <w:p w14:paraId="22C31BAA">
      <w:pPr>
        <w:pStyle w:val="4"/>
        <w:spacing w:before="0" w:beforeLines="0" w:after="0" w:afterLines="0" w:line="360" w:lineRule="auto"/>
        <w:rPr>
          <w:color w:val="auto"/>
          <w:highlight w:val="none"/>
        </w:rPr>
      </w:pPr>
      <w:bookmarkStart w:id="13" w:name="_Toc8042"/>
      <w:r>
        <w:rPr>
          <w:rFonts w:hint="eastAsia"/>
          <w:color w:val="auto"/>
          <w:highlight w:val="none"/>
        </w:rPr>
        <w:t>VTE结局质量指标</w:t>
      </w:r>
      <w:bookmarkEnd w:id="13"/>
    </w:p>
    <w:p w14:paraId="3209187C">
      <w:pPr>
        <w:numPr>
          <w:ilvl w:val="0"/>
          <w:numId w:val="20"/>
        </w:numPr>
        <w:spacing w:before="0" w:beforeLines="0" w:after="0" w:afterLines="0"/>
        <w:rPr>
          <w:color w:val="auto"/>
          <w:highlight w:val="none"/>
        </w:rPr>
      </w:pPr>
      <w:r>
        <w:rPr>
          <w:rFonts w:hint="eastAsia"/>
          <w:color w:val="auto"/>
          <w:highlight w:val="none"/>
        </w:rPr>
        <w:t>系统需支持展示医院相关性VTE检出率质量指标，要求不低于4个比率类指标。</w:t>
      </w:r>
    </w:p>
    <w:p w14:paraId="21FD0AB7">
      <w:pPr>
        <w:numPr>
          <w:ilvl w:val="0"/>
          <w:numId w:val="20"/>
        </w:numPr>
        <w:spacing w:before="0" w:beforeLines="0" w:after="0" w:afterLines="0"/>
        <w:rPr>
          <w:color w:val="auto"/>
          <w:highlight w:val="none"/>
        </w:rPr>
      </w:pPr>
      <w:r>
        <w:rPr>
          <w:rFonts w:hint="eastAsia" w:cs="宋体"/>
          <w:color w:val="auto"/>
          <w:kern w:val="0"/>
          <w:highlight w:val="none"/>
        </w:rPr>
        <w:t>系统需支持展示单纯DVT死亡病例、单纯PTE（或PE）死亡病例、DVT合并PTE（或PE）死亡病例、医院相关性VTE而死亡的患者例数的具体数据、统计数据，支持下载不同维度的统计数据、图表。</w:t>
      </w:r>
    </w:p>
    <w:p w14:paraId="0390D4C4">
      <w:pPr>
        <w:numPr>
          <w:ilvl w:val="0"/>
          <w:numId w:val="20"/>
        </w:numPr>
        <w:spacing w:before="0" w:beforeLines="0" w:after="0" w:afterLines="0"/>
        <w:rPr>
          <w:color w:val="auto"/>
          <w:highlight w:val="none"/>
        </w:rPr>
      </w:pPr>
      <w:r>
        <w:rPr>
          <w:rFonts w:hint="eastAsia"/>
          <w:color w:val="auto"/>
          <w:highlight w:val="none"/>
        </w:rPr>
        <w:t>系统需支持展示出血事件质量指标。</w:t>
      </w:r>
    </w:p>
    <w:p w14:paraId="663F2537">
      <w:pPr>
        <w:numPr>
          <w:ilvl w:val="0"/>
          <w:numId w:val="20"/>
        </w:numPr>
        <w:spacing w:before="0" w:beforeLines="0" w:after="0" w:afterLines="0"/>
        <w:rPr>
          <w:color w:val="auto"/>
          <w:highlight w:val="none"/>
        </w:rPr>
      </w:pPr>
      <w:r>
        <w:rPr>
          <w:rFonts w:hint="eastAsia" w:cs="宋体"/>
          <w:color w:val="auto"/>
          <w:kern w:val="0"/>
          <w:highlight w:val="none"/>
        </w:rPr>
        <w:t>系统需支持查看医院相关性</w:t>
      </w:r>
      <w:r>
        <w:rPr>
          <w:rFonts w:cs="宋体"/>
          <w:color w:val="auto"/>
          <w:kern w:val="0"/>
          <w:highlight w:val="none"/>
        </w:rPr>
        <w:t>VTE</w:t>
      </w:r>
      <w:r>
        <w:rPr>
          <w:rFonts w:hint="eastAsia" w:cs="宋体"/>
          <w:color w:val="auto"/>
          <w:kern w:val="0"/>
          <w:highlight w:val="none"/>
        </w:rPr>
        <w:t>死亡率、单纯</w:t>
      </w:r>
      <w:r>
        <w:rPr>
          <w:rFonts w:cs="宋体"/>
          <w:color w:val="auto"/>
          <w:kern w:val="0"/>
          <w:highlight w:val="none"/>
        </w:rPr>
        <w:t>DVT</w:t>
      </w:r>
      <w:r>
        <w:rPr>
          <w:rFonts w:hint="eastAsia" w:cs="宋体"/>
          <w:color w:val="auto"/>
          <w:kern w:val="0"/>
          <w:highlight w:val="none"/>
        </w:rPr>
        <w:t>死亡比例、单纯</w:t>
      </w:r>
      <w:r>
        <w:rPr>
          <w:rFonts w:cs="宋体"/>
          <w:color w:val="auto"/>
          <w:kern w:val="0"/>
          <w:highlight w:val="none"/>
        </w:rPr>
        <w:t>PTE(</w:t>
      </w:r>
      <w:r>
        <w:rPr>
          <w:rFonts w:hint="eastAsia" w:cs="宋体"/>
          <w:color w:val="auto"/>
          <w:kern w:val="0"/>
          <w:highlight w:val="none"/>
        </w:rPr>
        <w:t>或</w:t>
      </w:r>
      <w:r>
        <w:rPr>
          <w:rFonts w:cs="宋体"/>
          <w:color w:val="auto"/>
          <w:kern w:val="0"/>
          <w:highlight w:val="none"/>
        </w:rPr>
        <w:t>PE)</w:t>
      </w:r>
      <w:r>
        <w:rPr>
          <w:rFonts w:hint="eastAsia" w:cs="宋体"/>
          <w:color w:val="auto"/>
          <w:kern w:val="0"/>
          <w:highlight w:val="none"/>
        </w:rPr>
        <w:t>死亡比例、</w:t>
      </w:r>
      <w:r>
        <w:rPr>
          <w:rFonts w:cs="宋体"/>
          <w:color w:val="auto"/>
          <w:kern w:val="0"/>
          <w:highlight w:val="none"/>
        </w:rPr>
        <w:t>DVT</w:t>
      </w:r>
      <w:r>
        <w:rPr>
          <w:rFonts w:hint="eastAsia" w:cs="宋体"/>
          <w:color w:val="auto"/>
          <w:kern w:val="0"/>
          <w:highlight w:val="none"/>
        </w:rPr>
        <w:t>合并</w:t>
      </w:r>
      <w:r>
        <w:rPr>
          <w:rFonts w:cs="宋体"/>
          <w:color w:val="auto"/>
          <w:kern w:val="0"/>
          <w:highlight w:val="none"/>
        </w:rPr>
        <w:t>PTE</w:t>
      </w:r>
      <w:r>
        <w:rPr>
          <w:rFonts w:hint="eastAsia" w:cs="宋体"/>
          <w:color w:val="auto"/>
          <w:kern w:val="0"/>
          <w:highlight w:val="none"/>
        </w:rPr>
        <w:t>（或</w:t>
      </w:r>
      <w:r>
        <w:rPr>
          <w:rFonts w:cs="宋体"/>
          <w:color w:val="auto"/>
          <w:kern w:val="0"/>
          <w:highlight w:val="none"/>
        </w:rPr>
        <w:t>PE</w:t>
      </w:r>
      <w:r>
        <w:rPr>
          <w:rFonts w:hint="eastAsia" w:cs="宋体"/>
          <w:color w:val="auto"/>
          <w:kern w:val="0"/>
          <w:highlight w:val="none"/>
        </w:rPr>
        <w:t>）死亡比例的统计比率、具体数据、统计数据，支持下载不同维度的统计数据、图表。</w:t>
      </w:r>
    </w:p>
    <w:p w14:paraId="1F8389CC">
      <w:pPr>
        <w:numPr>
          <w:ilvl w:val="0"/>
          <w:numId w:val="20"/>
        </w:numPr>
        <w:spacing w:before="0" w:beforeLines="0" w:after="0" w:afterLines="0"/>
        <w:rPr>
          <w:color w:val="auto"/>
          <w:highlight w:val="none"/>
        </w:rPr>
      </w:pPr>
      <w:r>
        <w:rPr>
          <w:rFonts w:hint="eastAsia"/>
          <w:color w:val="auto"/>
          <w:highlight w:val="none"/>
        </w:rPr>
        <w:t>系统需支持结局质量指标层层下钻，支持导出指标图片。</w:t>
      </w:r>
    </w:p>
    <w:p w14:paraId="144A1048">
      <w:pPr>
        <w:numPr>
          <w:ilvl w:val="0"/>
          <w:numId w:val="20"/>
        </w:numPr>
        <w:spacing w:before="0" w:beforeLines="0" w:after="0" w:afterLines="0"/>
        <w:rPr>
          <w:color w:val="auto"/>
          <w:highlight w:val="none"/>
        </w:rPr>
      </w:pPr>
      <w:r>
        <w:rPr>
          <w:rFonts w:hint="eastAsia"/>
          <w:color w:val="auto"/>
          <w:highlight w:val="none"/>
        </w:rPr>
        <w:t>系统需支持查看构成结局质量指标的分子、分母的患者列表；支持导出患者列表清单。</w:t>
      </w:r>
    </w:p>
    <w:p w14:paraId="785F6455">
      <w:pPr>
        <w:numPr>
          <w:ilvl w:val="0"/>
          <w:numId w:val="20"/>
        </w:numPr>
        <w:spacing w:before="0" w:beforeLines="0" w:after="0" w:afterLines="0"/>
        <w:rPr>
          <w:color w:val="auto"/>
          <w:highlight w:val="none"/>
        </w:rPr>
      </w:pPr>
      <w:r>
        <w:rPr>
          <w:rFonts w:hint="eastAsia"/>
          <w:color w:val="auto"/>
          <w:highlight w:val="none"/>
        </w:rPr>
        <w:t>系统需支持用户自定义收藏重点指标。</w:t>
      </w:r>
    </w:p>
    <w:p w14:paraId="7E990A56">
      <w:pPr>
        <w:numPr>
          <w:ilvl w:val="0"/>
          <w:numId w:val="20"/>
        </w:numPr>
        <w:spacing w:before="0" w:beforeLines="0" w:after="0" w:afterLines="0"/>
        <w:rPr>
          <w:color w:val="auto"/>
          <w:highlight w:val="none"/>
        </w:rPr>
      </w:pPr>
      <w:r>
        <w:rPr>
          <w:rFonts w:hint="eastAsia"/>
          <w:color w:val="auto"/>
          <w:highlight w:val="none"/>
        </w:rPr>
        <w:t>系统需支持用户自定义指标标签。</w:t>
      </w:r>
    </w:p>
    <w:p w14:paraId="502E7004">
      <w:pPr>
        <w:numPr>
          <w:ilvl w:val="0"/>
          <w:numId w:val="20"/>
        </w:numPr>
        <w:spacing w:before="0" w:beforeLines="0" w:after="0" w:afterLines="0"/>
        <w:rPr>
          <w:color w:val="auto"/>
          <w:highlight w:val="none"/>
        </w:rPr>
      </w:pPr>
      <w:r>
        <w:rPr>
          <w:rFonts w:hint="eastAsia"/>
          <w:color w:val="auto"/>
          <w:highlight w:val="none"/>
        </w:rPr>
        <w:t>系统需支持设置结局质量指标的警戒值，支持异常指标区分显示。</w:t>
      </w:r>
    </w:p>
    <w:p w14:paraId="208C1D26">
      <w:pPr>
        <w:pStyle w:val="4"/>
        <w:spacing w:before="0" w:beforeLines="0" w:after="0" w:afterLines="0" w:line="360" w:lineRule="auto"/>
        <w:rPr>
          <w:color w:val="auto"/>
          <w:highlight w:val="none"/>
        </w:rPr>
      </w:pPr>
      <w:r>
        <w:rPr>
          <w:rFonts w:hint="eastAsia"/>
          <w:color w:val="auto"/>
          <w:highlight w:val="none"/>
        </w:rPr>
        <w:t>VTE联盟上报指标</w:t>
      </w:r>
    </w:p>
    <w:p w14:paraId="3A471086">
      <w:pPr>
        <w:spacing w:before="0" w:beforeLines="0" w:after="0" w:afterLines="0"/>
        <w:ind w:firstLine="480" w:firstLineChars="200"/>
        <w:rPr>
          <w:color w:val="auto"/>
          <w:highlight w:val="none"/>
        </w:rPr>
      </w:pPr>
      <w:r>
        <w:rPr>
          <w:rFonts w:hint="eastAsia"/>
          <w:color w:val="auto"/>
          <w:highlight w:val="none"/>
        </w:rPr>
        <w:t>系统需支持根据全国肺栓塞和深静脉血栓形成防治能力建设项目办公室发布的VTE 质控数据填报数据要求设计统计项目，统计数据包含：出院患者数、出院患者例数、住院患者初始VTE风险评估例数、接受VTE风险评估的住院患者例数、接受任何一次VTE风险评估的出院患者VTE风险为中/高危的患者例数、接受出血风险评估的住院患者例数、接受出血风险评估的VTE中高危风险出院患者、预防措施实施例数、药物预防实施例数、机械预防实施例数、住院手术人次数、手术患者住院期间新发DVT的例数、手术患者住院期间新发PE的例数、手术患者住院期间新发DVT合并PE的例数、新发DVT的例数、新发PE的例数、新发DVT合并PE的例数、诊断为医院相关性VTE住院患者例数、肺栓塞住院患者死亡例数、VTE住院患者死亡例数。</w:t>
      </w:r>
    </w:p>
    <w:p w14:paraId="7475B357">
      <w:pPr>
        <w:pStyle w:val="3"/>
        <w:spacing w:before="0" w:beforeLines="0" w:after="0" w:afterLines="0" w:line="360" w:lineRule="auto"/>
        <w:rPr>
          <w:rFonts w:hint="eastAsia"/>
          <w:color w:val="auto"/>
          <w:highlight w:val="none"/>
        </w:rPr>
      </w:pPr>
      <w:bookmarkStart w:id="14" w:name="_Toc31878"/>
      <w:r>
        <w:rPr>
          <w:rFonts w:hint="eastAsia"/>
          <w:color w:val="auto"/>
          <w:highlight w:val="none"/>
        </w:rPr>
        <w:t>VTE智能质控报告管理</w:t>
      </w:r>
    </w:p>
    <w:p w14:paraId="626E16CD">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系统需支持自动抓取VTE防治全流程数据，一键生成VTE质控报告，覆盖评估率、预防率、漏诊率等核心质控指标。</w:t>
      </w:r>
    </w:p>
    <w:p w14:paraId="346D9C9A">
      <w:pPr>
        <w:spacing w:before="0" w:beforeLines="0" w:after="0" w:afterLines="0"/>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系统支持按照国家及地方上级监管要求的标准模板，自动生成VTE各类评审报告、统计报表。</w:t>
      </w:r>
    </w:p>
    <w:p w14:paraId="61FC1DAE">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系统可单独生成各科室的VTE防治专项报表，展示科室VTE评估、预防、不良事件发生等维度的科室专属数据。</w:t>
      </w:r>
    </w:p>
    <w:p w14:paraId="36C58412">
      <w:pPr>
        <w:pStyle w:val="3"/>
        <w:spacing w:before="0" w:beforeLines="0" w:after="0" w:afterLines="0" w:line="360" w:lineRule="auto"/>
        <w:rPr>
          <w:color w:val="auto"/>
          <w:highlight w:val="none"/>
        </w:rPr>
      </w:pPr>
      <w:r>
        <w:rPr>
          <w:rFonts w:hint="eastAsia"/>
          <w:color w:val="auto"/>
          <w:highlight w:val="none"/>
        </w:rPr>
        <w:t>VTE会诊与转诊闭环管理</w:t>
      </w:r>
    </w:p>
    <w:p w14:paraId="1681A37E">
      <w:pPr>
        <w:spacing w:before="0" w:beforeLines="0" w:after="0" w:afterLines="0"/>
        <w:ind w:firstLine="480" w:firstLineChars="200"/>
        <w:rPr>
          <w:rFonts w:hint="eastAsia"/>
          <w:color w:val="auto"/>
          <w:highlight w:val="none"/>
        </w:rPr>
      </w:pPr>
      <w:r>
        <w:rPr>
          <w:color w:val="auto"/>
          <w:highlight w:val="none"/>
        </w:rPr>
        <w:t>具备</w:t>
      </w:r>
      <w:r>
        <w:rPr>
          <w:rFonts w:hint="eastAsia"/>
          <w:color w:val="auto"/>
          <w:highlight w:val="none"/>
        </w:rPr>
        <w:t>会诊与转诊</w:t>
      </w:r>
      <w:r>
        <w:rPr>
          <w:color w:val="auto"/>
          <w:highlight w:val="none"/>
        </w:rPr>
        <w:t>跟踪功能。</w:t>
      </w:r>
      <w:r>
        <w:rPr>
          <w:rFonts w:hint="eastAsia"/>
          <w:color w:val="auto"/>
          <w:highlight w:val="none"/>
        </w:rPr>
        <w:t>具体</w:t>
      </w:r>
      <w:r>
        <w:rPr>
          <w:color w:val="auto"/>
          <w:highlight w:val="none"/>
        </w:rPr>
        <w:t>功能如下：</w:t>
      </w:r>
    </w:p>
    <w:p w14:paraId="0669E7D4">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color w:val="auto"/>
          <w:highlight w:val="none"/>
        </w:rPr>
        <w:t>针对极高危或疑似/确诊VTE患者，系统具备快速</w:t>
      </w:r>
      <w:r>
        <w:rPr>
          <w:rFonts w:hint="eastAsia"/>
          <w:color w:val="auto"/>
          <w:highlight w:val="none"/>
        </w:rPr>
        <w:t>识别并支持</w:t>
      </w:r>
      <w:r>
        <w:rPr>
          <w:color w:val="auto"/>
          <w:highlight w:val="none"/>
        </w:rPr>
        <w:t>启动多学科会诊（MDI）流程，</w:t>
      </w:r>
      <w:r>
        <w:rPr>
          <w:rFonts w:hint="eastAsia"/>
          <w:color w:val="auto"/>
          <w:highlight w:val="none"/>
        </w:rPr>
        <w:t>支持对接并调用HIS系统发送</w:t>
      </w:r>
      <w:r>
        <w:rPr>
          <w:color w:val="auto"/>
          <w:highlight w:val="none"/>
        </w:rPr>
        <w:t>会诊请求并推送至相关专家。</w:t>
      </w:r>
    </w:p>
    <w:p w14:paraId="27EF5555">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系统支持对接并调用转诊系统</w:t>
      </w:r>
      <w:r>
        <w:rPr>
          <w:color w:val="auto"/>
          <w:highlight w:val="none"/>
        </w:rPr>
        <w:t>将患者信息推送给血管外科/呼吸科。</w:t>
      </w:r>
    </w:p>
    <w:p w14:paraId="0AE53728">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系统</w:t>
      </w:r>
      <w:r>
        <w:rPr>
          <w:rFonts w:hint="eastAsia"/>
          <w:color w:val="auto"/>
          <w:highlight w:val="none"/>
        </w:rPr>
        <w:t>支持</w:t>
      </w:r>
      <w:r>
        <w:rPr>
          <w:color w:val="auto"/>
          <w:highlight w:val="none"/>
        </w:rPr>
        <w:t>实时跟踪会诊执行节点，及时更新</w:t>
      </w:r>
      <w:r>
        <w:rPr>
          <w:rFonts w:hint="eastAsia"/>
          <w:color w:val="auto"/>
          <w:highlight w:val="none"/>
        </w:rPr>
        <w:t>信息</w:t>
      </w:r>
      <w:r>
        <w:rPr>
          <w:color w:val="auto"/>
          <w:highlight w:val="none"/>
        </w:rPr>
        <w:t>，保障防治管理流程的高效闭环。</w:t>
      </w:r>
    </w:p>
    <w:p w14:paraId="6FF42777">
      <w:pPr>
        <w:pStyle w:val="3"/>
        <w:spacing w:before="0" w:beforeLines="0" w:after="0" w:afterLines="0" w:line="360" w:lineRule="auto"/>
        <w:rPr>
          <w:color w:val="auto"/>
          <w:highlight w:val="none"/>
        </w:rPr>
      </w:pPr>
      <w:r>
        <w:rPr>
          <w:rFonts w:hint="eastAsia"/>
          <w:color w:val="auto"/>
          <w:highlight w:val="none"/>
        </w:rPr>
        <w:t>VTE防治随访管理</w:t>
      </w:r>
    </w:p>
    <w:p w14:paraId="16FCF523">
      <w:pPr>
        <w:spacing w:before="0" w:beforeLines="0" w:after="0" w:afterLines="0"/>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系统需支持对接院内微信公众号，或者支持扫描二维码进入移动端服务。</w:t>
      </w:r>
    </w:p>
    <w:p w14:paraId="647288D7">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系统需支持患者的预问诊评估内容自动生成智能预问诊报告。</w:t>
      </w:r>
    </w:p>
    <w:p w14:paraId="18F87D65">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系统需支持住院期间日观察自评和自评报告。</w:t>
      </w:r>
    </w:p>
    <w:p w14:paraId="0FEF44A4">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系统需支持展示未完成的评估任务。</w:t>
      </w:r>
    </w:p>
    <w:p w14:paraId="6928FCDA">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eastAsia"/>
          <w:color w:val="auto"/>
          <w:highlight w:val="none"/>
        </w:rPr>
        <w:t>系统需支持查看VTE患者宣教信息。</w:t>
      </w:r>
    </w:p>
    <w:p w14:paraId="767D83A3">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rFonts w:hint="eastAsia"/>
          <w:color w:val="auto"/>
          <w:highlight w:val="none"/>
        </w:rPr>
        <w:t>系统需支持移动端随访表单。</w:t>
      </w:r>
    </w:p>
    <w:p w14:paraId="5351B6BA">
      <w:pPr>
        <w:pStyle w:val="3"/>
        <w:spacing w:before="0" w:beforeLines="0" w:after="0" w:afterLines="0" w:line="360" w:lineRule="auto"/>
        <w:rPr>
          <w:color w:val="auto"/>
          <w:highlight w:val="none"/>
        </w:rPr>
      </w:pPr>
      <w:r>
        <w:rPr>
          <w:rFonts w:hint="eastAsia"/>
          <w:color w:val="auto"/>
          <w:highlight w:val="none"/>
        </w:rPr>
        <w:t>VTE基础数据服务及知识引擎</w:t>
      </w:r>
      <w:bookmarkEnd w:id="14"/>
    </w:p>
    <w:p w14:paraId="00DBD371">
      <w:pPr>
        <w:pStyle w:val="4"/>
        <w:spacing w:before="0" w:beforeLines="0" w:after="0" w:afterLines="0" w:line="360" w:lineRule="auto"/>
        <w:rPr>
          <w:color w:val="auto"/>
          <w:highlight w:val="none"/>
        </w:rPr>
      </w:pPr>
      <w:bookmarkStart w:id="15" w:name="_Toc4398"/>
      <w:r>
        <w:rPr>
          <w:color w:val="auto"/>
          <w:highlight w:val="none"/>
        </w:rPr>
        <w:t>VTE</w:t>
      </w:r>
      <w:r>
        <w:rPr>
          <w:rFonts w:hint="eastAsia"/>
          <w:color w:val="auto"/>
          <w:highlight w:val="none"/>
        </w:rPr>
        <w:t>术语</w:t>
      </w:r>
      <w:r>
        <w:rPr>
          <w:color w:val="auto"/>
          <w:highlight w:val="none"/>
        </w:rPr>
        <w:t>标准编码</w:t>
      </w:r>
      <w:bookmarkEnd w:id="15"/>
    </w:p>
    <w:p w14:paraId="0C4B4FAD">
      <w:pPr>
        <w:spacing w:before="0" w:beforeLines="0" w:after="0" w:afterLines="0" w:line="360" w:lineRule="auto"/>
        <w:ind w:firstLine="480"/>
        <w:rPr>
          <w:rFonts w:eastAsia="宋体"/>
          <w:color w:val="auto"/>
          <w:sz w:val="22"/>
          <w:highlight w:val="none"/>
        </w:rPr>
      </w:pPr>
      <w:r>
        <w:rPr>
          <w:rFonts w:hint="eastAsia" w:eastAsia="宋体"/>
          <w:color w:val="auto"/>
          <w:szCs w:val="24"/>
          <w:highlight w:val="none"/>
        </w:rPr>
        <w:t>系统需</w:t>
      </w:r>
      <w:r>
        <w:rPr>
          <w:rFonts w:eastAsia="宋体"/>
          <w:color w:val="auto"/>
          <w:szCs w:val="24"/>
          <w:highlight w:val="none"/>
        </w:rPr>
        <w:t>按照国家卫生行业标准规范，</w:t>
      </w:r>
      <w:r>
        <w:rPr>
          <w:rFonts w:hint="eastAsia" w:eastAsia="宋体"/>
          <w:color w:val="auto"/>
          <w:szCs w:val="24"/>
          <w:highlight w:val="none"/>
        </w:rPr>
        <w:t>支持</w:t>
      </w:r>
      <w:r>
        <w:rPr>
          <w:rFonts w:eastAsia="宋体"/>
          <w:color w:val="auto"/>
          <w:szCs w:val="24"/>
          <w:highlight w:val="none"/>
        </w:rPr>
        <w:t>提供诊断、用药、检查项目、检验项目等类型的编码</w:t>
      </w:r>
      <w:r>
        <w:rPr>
          <w:rFonts w:hint="eastAsia" w:eastAsia="宋体"/>
          <w:color w:val="auto"/>
          <w:szCs w:val="24"/>
          <w:highlight w:val="none"/>
        </w:rPr>
        <w:t>。</w:t>
      </w:r>
    </w:p>
    <w:p w14:paraId="403C471D">
      <w:pPr>
        <w:pStyle w:val="4"/>
        <w:spacing w:before="0" w:beforeLines="0" w:after="0" w:afterLines="0" w:line="360" w:lineRule="auto"/>
        <w:rPr>
          <w:color w:val="auto"/>
          <w:highlight w:val="none"/>
        </w:rPr>
      </w:pPr>
      <w:bookmarkStart w:id="16" w:name="_Toc22896"/>
      <w:r>
        <w:rPr>
          <w:color w:val="auto"/>
          <w:highlight w:val="none"/>
        </w:rPr>
        <w:t>VTE数据治理</w:t>
      </w:r>
      <w:bookmarkEnd w:id="16"/>
    </w:p>
    <w:p w14:paraId="6380E967">
      <w:pPr>
        <w:numPr>
          <w:ilvl w:val="0"/>
          <w:numId w:val="21"/>
        </w:numPr>
        <w:spacing w:before="0" w:beforeLines="0" w:after="0" w:afterLines="0"/>
        <w:rPr>
          <w:color w:val="auto"/>
          <w:highlight w:val="none"/>
        </w:rPr>
      </w:pPr>
      <w:r>
        <w:rPr>
          <w:rFonts w:hint="eastAsia" w:eastAsia="宋体" w:cs="宋体"/>
          <w:color w:val="auto"/>
          <w:szCs w:val="24"/>
          <w:highlight w:val="none"/>
        </w:rPr>
        <w:t>系统需支持从不同数据源进行指定规则的数据提取作业；采集时非必须要求第三方系统提供技术和接口开发支持。</w:t>
      </w:r>
    </w:p>
    <w:p w14:paraId="6387100C">
      <w:pPr>
        <w:numPr>
          <w:ilvl w:val="0"/>
          <w:numId w:val="21"/>
        </w:numPr>
        <w:spacing w:before="0" w:beforeLines="0" w:after="0" w:afterLines="0"/>
        <w:rPr>
          <w:color w:val="auto"/>
          <w:highlight w:val="none"/>
        </w:rPr>
      </w:pPr>
      <w:r>
        <w:rPr>
          <w:rFonts w:hint="eastAsia" w:eastAsia="宋体" w:cs="宋体"/>
          <w:color w:val="auto"/>
          <w:szCs w:val="24"/>
          <w:highlight w:val="none"/>
        </w:rPr>
        <w:t>系统需支持校验数据</w:t>
      </w:r>
      <w:r>
        <w:rPr>
          <w:rFonts w:eastAsia="宋体" w:cs="宋体"/>
          <w:color w:val="auto"/>
          <w:szCs w:val="24"/>
          <w:highlight w:val="none"/>
        </w:rPr>
        <w:t>类型</w:t>
      </w:r>
      <w:r>
        <w:rPr>
          <w:rFonts w:hint="eastAsia" w:eastAsia="宋体" w:cs="宋体"/>
          <w:color w:val="auto"/>
          <w:szCs w:val="24"/>
          <w:highlight w:val="none"/>
        </w:rPr>
        <w:t>、</w:t>
      </w:r>
      <w:r>
        <w:rPr>
          <w:rFonts w:eastAsia="宋体" w:cs="宋体"/>
          <w:color w:val="auto"/>
          <w:szCs w:val="24"/>
          <w:highlight w:val="none"/>
        </w:rPr>
        <w:t>长度</w:t>
      </w:r>
      <w:r>
        <w:rPr>
          <w:rFonts w:hint="eastAsia" w:eastAsia="宋体" w:cs="宋体"/>
          <w:color w:val="auto"/>
          <w:szCs w:val="24"/>
          <w:highlight w:val="none"/>
        </w:rPr>
        <w:t>、</w:t>
      </w:r>
      <w:r>
        <w:rPr>
          <w:rFonts w:eastAsia="宋体" w:cs="宋体"/>
          <w:color w:val="auto"/>
          <w:szCs w:val="24"/>
          <w:highlight w:val="none"/>
        </w:rPr>
        <w:t>是否为空</w:t>
      </w:r>
      <w:r>
        <w:rPr>
          <w:rFonts w:hint="eastAsia" w:eastAsia="宋体" w:cs="宋体"/>
          <w:color w:val="auto"/>
          <w:szCs w:val="24"/>
          <w:highlight w:val="none"/>
        </w:rPr>
        <w:t>、</w:t>
      </w:r>
      <w:r>
        <w:rPr>
          <w:rFonts w:eastAsia="宋体" w:cs="宋体"/>
          <w:color w:val="auto"/>
          <w:szCs w:val="24"/>
          <w:highlight w:val="none"/>
        </w:rPr>
        <w:t>精度</w:t>
      </w:r>
      <w:r>
        <w:rPr>
          <w:rFonts w:hint="eastAsia" w:eastAsia="宋体" w:cs="宋体"/>
          <w:color w:val="auto"/>
          <w:szCs w:val="24"/>
          <w:highlight w:val="none"/>
        </w:rPr>
        <w:t>、</w:t>
      </w:r>
      <w:r>
        <w:rPr>
          <w:rFonts w:eastAsia="宋体" w:cs="宋体"/>
          <w:color w:val="auto"/>
          <w:szCs w:val="24"/>
          <w:highlight w:val="none"/>
        </w:rPr>
        <w:t>范围</w:t>
      </w:r>
      <w:r>
        <w:rPr>
          <w:rFonts w:hint="eastAsia" w:eastAsia="宋体" w:cs="宋体"/>
          <w:color w:val="auto"/>
          <w:szCs w:val="24"/>
          <w:highlight w:val="none"/>
        </w:rPr>
        <w:t>、</w:t>
      </w:r>
      <w:r>
        <w:rPr>
          <w:rFonts w:eastAsia="宋体" w:cs="宋体"/>
          <w:color w:val="auto"/>
          <w:szCs w:val="24"/>
          <w:highlight w:val="none"/>
        </w:rPr>
        <w:t>格式等信息</w:t>
      </w:r>
      <w:r>
        <w:rPr>
          <w:rFonts w:hint="eastAsia" w:eastAsia="宋体" w:cs="宋体"/>
          <w:color w:val="auto"/>
          <w:szCs w:val="24"/>
          <w:highlight w:val="none"/>
        </w:rPr>
        <w:t>。</w:t>
      </w:r>
    </w:p>
    <w:p w14:paraId="4F7F9152">
      <w:pPr>
        <w:numPr>
          <w:ilvl w:val="0"/>
          <w:numId w:val="21"/>
        </w:numPr>
        <w:spacing w:before="0" w:beforeLines="0" w:after="0" w:afterLines="0"/>
        <w:rPr>
          <w:color w:val="auto"/>
          <w:highlight w:val="none"/>
        </w:rPr>
      </w:pPr>
      <w:r>
        <w:rPr>
          <w:rFonts w:hint="eastAsia" w:eastAsia="宋体" w:cs="宋体"/>
          <w:color w:val="auto"/>
          <w:szCs w:val="24"/>
          <w:highlight w:val="none"/>
        </w:rPr>
        <w:t>系统需支持输出</w:t>
      </w:r>
      <w:r>
        <w:rPr>
          <w:rFonts w:eastAsia="宋体" w:cs="宋体"/>
          <w:color w:val="auto"/>
          <w:szCs w:val="24"/>
          <w:highlight w:val="none"/>
        </w:rPr>
        <w:t>错误原因，自动重试并跟踪重试进度</w:t>
      </w:r>
      <w:r>
        <w:rPr>
          <w:rFonts w:hint="eastAsia" w:eastAsia="宋体" w:cs="宋体"/>
          <w:color w:val="auto"/>
          <w:szCs w:val="24"/>
          <w:highlight w:val="none"/>
        </w:rPr>
        <w:t>。</w:t>
      </w:r>
    </w:p>
    <w:p w14:paraId="6BF6E562">
      <w:pPr>
        <w:numPr>
          <w:ilvl w:val="0"/>
          <w:numId w:val="21"/>
        </w:numPr>
        <w:spacing w:before="0" w:beforeLines="0" w:after="0" w:afterLines="0"/>
        <w:rPr>
          <w:color w:val="auto"/>
          <w:highlight w:val="none"/>
        </w:rPr>
      </w:pPr>
      <w:r>
        <w:rPr>
          <w:rFonts w:hint="eastAsia" w:eastAsia="宋体" w:cs="宋体"/>
          <w:color w:val="auto"/>
          <w:szCs w:val="24"/>
          <w:highlight w:val="none"/>
        </w:rPr>
        <w:t>系统需支持配置数据治理任务的</w:t>
      </w:r>
      <w:r>
        <w:rPr>
          <w:rFonts w:eastAsia="宋体" w:cs="宋体"/>
          <w:color w:val="auto"/>
          <w:szCs w:val="24"/>
          <w:highlight w:val="none"/>
        </w:rPr>
        <w:t>优先级</w:t>
      </w:r>
      <w:r>
        <w:rPr>
          <w:rFonts w:hint="eastAsia" w:eastAsia="宋体" w:cs="宋体"/>
          <w:color w:val="auto"/>
          <w:szCs w:val="24"/>
          <w:highlight w:val="none"/>
        </w:rPr>
        <w:t>。</w:t>
      </w:r>
    </w:p>
    <w:p w14:paraId="79CABE55">
      <w:pPr>
        <w:pStyle w:val="4"/>
        <w:spacing w:before="0" w:beforeLines="0" w:after="0" w:afterLines="0" w:line="360" w:lineRule="auto"/>
        <w:rPr>
          <w:color w:val="auto"/>
          <w:highlight w:val="none"/>
        </w:rPr>
      </w:pPr>
      <w:bookmarkStart w:id="17" w:name="_Toc7392"/>
      <w:r>
        <w:rPr>
          <w:rFonts w:hint="eastAsia"/>
          <w:color w:val="auto"/>
          <w:highlight w:val="none"/>
        </w:rPr>
        <w:t>VTE</w:t>
      </w:r>
      <w:r>
        <w:rPr>
          <w:color w:val="auto"/>
          <w:highlight w:val="none"/>
        </w:rPr>
        <w:t>数据处理引擎</w:t>
      </w:r>
      <w:bookmarkEnd w:id="17"/>
    </w:p>
    <w:p w14:paraId="71F4CC12">
      <w:pPr>
        <w:numPr>
          <w:ilvl w:val="0"/>
          <w:numId w:val="22"/>
        </w:numPr>
        <w:spacing w:before="0" w:beforeLines="0" w:after="0" w:afterLines="0"/>
        <w:rPr>
          <w:color w:val="auto"/>
          <w:highlight w:val="none"/>
        </w:rPr>
      </w:pPr>
      <w:r>
        <w:rPr>
          <w:rFonts w:hint="eastAsia" w:eastAsia="宋体" w:cs="宋体"/>
          <w:color w:val="auto"/>
          <w:szCs w:val="24"/>
          <w:highlight w:val="none"/>
        </w:rPr>
        <w:t>系统需支持对数据进行清洗和逻辑处理。</w:t>
      </w:r>
    </w:p>
    <w:p w14:paraId="5745BEDB">
      <w:pPr>
        <w:numPr>
          <w:ilvl w:val="0"/>
          <w:numId w:val="22"/>
        </w:numPr>
        <w:spacing w:before="0" w:beforeLines="0" w:after="0" w:afterLines="0"/>
        <w:rPr>
          <w:color w:val="auto"/>
          <w:highlight w:val="none"/>
        </w:rPr>
      </w:pPr>
      <w:r>
        <w:rPr>
          <w:rFonts w:hint="eastAsia" w:eastAsia="宋体" w:cs="宋体"/>
          <w:color w:val="auto"/>
          <w:szCs w:val="24"/>
          <w:highlight w:val="none"/>
        </w:rPr>
        <w:t>系统需支持使用</w:t>
      </w:r>
      <w:r>
        <w:rPr>
          <w:rFonts w:eastAsia="宋体" w:cs="宋体"/>
          <w:color w:val="auto"/>
          <w:szCs w:val="24"/>
          <w:highlight w:val="none"/>
        </w:rPr>
        <w:t>计算规则对数据进行</w:t>
      </w:r>
      <w:r>
        <w:rPr>
          <w:rFonts w:hint="eastAsia" w:eastAsia="宋体" w:cs="宋体"/>
          <w:color w:val="auto"/>
          <w:szCs w:val="24"/>
          <w:highlight w:val="none"/>
        </w:rPr>
        <w:t>转换</w:t>
      </w:r>
      <w:r>
        <w:rPr>
          <w:rFonts w:eastAsia="宋体" w:cs="宋体"/>
          <w:color w:val="auto"/>
          <w:szCs w:val="24"/>
          <w:highlight w:val="none"/>
        </w:rPr>
        <w:t>计算</w:t>
      </w:r>
      <w:r>
        <w:rPr>
          <w:rFonts w:hint="eastAsia" w:eastAsia="宋体" w:cs="宋体"/>
          <w:color w:val="auto"/>
          <w:szCs w:val="24"/>
          <w:highlight w:val="none"/>
        </w:rPr>
        <w:t>。</w:t>
      </w:r>
    </w:p>
    <w:p w14:paraId="29B7BC30">
      <w:pPr>
        <w:numPr>
          <w:ilvl w:val="0"/>
          <w:numId w:val="22"/>
        </w:numPr>
        <w:spacing w:before="0" w:beforeLines="0" w:after="0" w:afterLines="0"/>
        <w:rPr>
          <w:color w:val="auto"/>
          <w:highlight w:val="none"/>
        </w:rPr>
      </w:pPr>
      <w:r>
        <w:rPr>
          <w:rFonts w:hint="eastAsia" w:eastAsia="宋体" w:cs="宋体"/>
          <w:color w:val="auto"/>
          <w:szCs w:val="24"/>
          <w:highlight w:val="none"/>
        </w:rPr>
        <w:t>系统需支持集成数据标准化AI算法、NLP抽取AI算法。</w:t>
      </w:r>
    </w:p>
    <w:p w14:paraId="08BB551B">
      <w:pPr>
        <w:pStyle w:val="4"/>
        <w:spacing w:before="0" w:beforeLines="0" w:after="0" w:afterLines="0" w:line="360" w:lineRule="auto"/>
        <w:rPr>
          <w:color w:val="auto"/>
          <w:highlight w:val="none"/>
        </w:rPr>
      </w:pPr>
      <w:r>
        <w:rPr>
          <w:rFonts w:hint="eastAsia"/>
          <w:color w:val="auto"/>
          <w:highlight w:val="none"/>
        </w:rPr>
        <w:t>VTE临床知识引擎</w:t>
      </w:r>
    </w:p>
    <w:p w14:paraId="15BCB438">
      <w:pPr>
        <w:pStyle w:val="45"/>
        <w:numPr>
          <w:ilvl w:val="0"/>
          <w:numId w:val="23"/>
        </w:numPr>
        <w:spacing w:before="0" w:beforeLines="0" w:after="0" w:afterLines="0"/>
        <w:rPr>
          <w:color w:val="auto"/>
          <w:highlight w:val="none"/>
        </w:rPr>
      </w:pPr>
      <w:bookmarkStart w:id="18" w:name="_Toc4927"/>
      <w:r>
        <w:rPr>
          <w:rFonts w:hint="eastAsia"/>
          <w:color w:val="auto"/>
          <w:highlight w:val="none"/>
        </w:rPr>
        <w:t>系统需</w:t>
      </w:r>
      <w:r>
        <w:rPr>
          <w:color w:val="auto"/>
          <w:highlight w:val="none"/>
        </w:rPr>
        <w:t>支持</w:t>
      </w:r>
      <w:r>
        <w:rPr>
          <w:rFonts w:hint="eastAsia"/>
          <w:color w:val="auto"/>
          <w:highlight w:val="none"/>
        </w:rPr>
        <w:t>定义、修改、删除VTE医学变量规则。</w:t>
      </w:r>
    </w:p>
    <w:p w14:paraId="035A7FCB">
      <w:pPr>
        <w:pStyle w:val="45"/>
        <w:numPr>
          <w:ilvl w:val="0"/>
          <w:numId w:val="23"/>
        </w:numPr>
        <w:spacing w:before="0" w:beforeLines="0" w:after="0" w:afterLines="0"/>
        <w:rPr>
          <w:color w:val="auto"/>
          <w:highlight w:val="none"/>
        </w:rPr>
      </w:pPr>
      <w:r>
        <w:rPr>
          <w:rFonts w:hint="eastAsia"/>
          <w:color w:val="auto"/>
          <w:highlight w:val="none"/>
        </w:rPr>
        <w:t>系统需支持处理复杂的逻辑，包括条件、循环、变量嵌套等。</w:t>
      </w:r>
    </w:p>
    <w:p w14:paraId="41E5521B">
      <w:pPr>
        <w:pStyle w:val="45"/>
        <w:numPr>
          <w:ilvl w:val="0"/>
          <w:numId w:val="23"/>
        </w:numPr>
        <w:spacing w:before="0" w:beforeLines="0" w:after="0" w:afterLines="0"/>
        <w:rPr>
          <w:color w:val="auto"/>
          <w:highlight w:val="none"/>
        </w:rPr>
      </w:pPr>
      <w:r>
        <w:rPr>
          <w:rFonts w:hint="eastAsia"/>
          <w:color w:val="auto"/>
          <w:highlight w:val="none"/>
        </w:rPr>
        <w:t>系统需支持使用决策表、决策树等进行医学规则的配置。</w:t>
      </w:r>
    </w:p>
    <w:p w14:paraId="158BBAF7">
      <w:pPr>
        <w:pStyle w:val="45"/>
        <w:numPr>
          <w:ilvl w:val="0"/>
          <w:numId w:val="23"/>
        </w:numPr>
        <w:spacing w:before="0" w:beforeLines="0" w:after="0" w:afterLines="0"/>
        <w:rPr>
          <w:color w:val="auto"/>
          <w:highlight w:val="none"/>
        </w:rPr>
      </w:pPr>
      <w:r>
        <w:rPr>
          <w:rFonts w:hint="eastAsia"/>
          <w:color w:val="auto"/>
          <w:highlight w:val="none"/>
        </w:rPr>
        <w:t>系统需支持可视化配置VTE医学规则。</w:t>
      </w:r>
    </w:p>
    <w:p w14:paraId="2C905173">
      <w:pPr>
        <w:pStyle w:val="45"/>
        <w:numPr>
          <w:ilvl w:val="0"/>
          <w:numId w:val="23"/>
        </w:numPr>
        <w:spacing w:before="0" w:beforeLines="0" w:after="0" w:afterLines="0"/>
        <w:rPr>
          <w:color w:val="auto"/>
          <w:highlight w:val="none"/>
        </w:rPr>
      </w:pPr>
      <w:r>
        <w:rPr>
          <w:rFonts w:hint="eastAsia"/>
          <w:color w:val="auto"/>
          <w:highlight w:val="none"/>
        </w:rPr>
        <w:t>系统需支持对医学变量规则所命中的数据进行溯源，且溯源能够可视化展示。</w:t>
      </w:r>
    </w:p>
    <w:p w14:paraId="7E7DE89B">
      <w:pPr>
        <w:pStyle w:val="4"/>
        <w:numPr>
          <w:ilvl w:val="2"/>
          <w:numId w:val="1"/>
        </w:numPr>
        <w:spacing w:before="0" w:beforeLines="0" w:after="0" w:afterLines="0" w:line="360" w:lineRule="auto"/>
        <w:outlineLvl w:val="2"/>
        <w:rPr>
          <w:color w:val="auto"/>
          <w:highlight w:val="none"/>
        </w:rPr>
      </w:pPr>
      <w:r>
        <w:rPr>
          <w:rFonts w:hint="eastAsia"/>
          <w:color w:val="auto"/>
          <w:highlight w:val="none"/>
        </w:rPr>
        <w:t>VTE系统权限管理</w:t>
      </w:r>
    </w:p>
    <w:p w14:paraId="491ACD54">
      <w:pPr>
        <w:spacing w:before="0" w:beforeLines="0" w:after="0" w:afterLines="0"/>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支持基于资源</w:t>
      </w:r>
      <w:r>
        <w:rPr>
          <w:color w:val="auto"/>
          <w:highlight w:val="none"/>
        </w:rPr>
        <w:t>-</w:t>
      </w:r>
      <w:r>
        <w:rPr>
          <w:rFonts w:hint="eastAsia"/>
          <w:color w:val="auto"/>
          <w:highlight w:val="none"/>
        </w:rPr>
        <w:t>角色</w:t>
      </w:r>
      <w:r>
        <w:rPr>
          <w:color w:val="auto"/>
          <w:highlight w:val="none"/>
        </w:rPr>
        <w:t>-</w:t>
      </w:r>
      <w:r>
        <w:rPr>
          <w:rFonts w:hint="eastAsia"/>
          <w:color w:val="auto"/>
          <w:highlight w:val="none"/>
        </w:rPr>
        <w:t>用户的统一权限管理功能；</w:t>
      </w:r>
    </w:p>
    <w:p w14:paraId="5E32D01A">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支持进行应用服务、应用入口的权限管控和分配；</w:t>
      </w:r>
    </w:p>
    <w:p w14:paraId="047EC130">
      <w:pPr>
        <w:spacing w:before="0" w:beforeLines="0" w:after="0" w:afterLines="0"/>
        <w:ind w:firstLine="480" w:firstLineChars="200"/>
        <w:rPr>
          <w:rFonts w:hint="eastAsia"/>
          <w:color w:val="auto"/>
          <w:highlight w:val="none"/>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支持通过可视化展示和控制各应用操作权限，可以从用户、角色维度通过简单勾选的方式对应用内菜单和操作权限进行配置；</w:t>
      </w:r>
    </w:p>
    <w:p w14:paraId="119EB2DF">
      <w:pPr>
        <w:spacing w:before="0" w:beforeLines="0" w:after="0" w:afterLines="0"/>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color w:val="auto"/>
          <w:highlight w:val="none"/>
        </w:rPr>
        <w:t>支持按分院、科室及医生级别进行分组管理，实现精细化职责划分。</w:t>
      </w:r>
    </w:p>
    <w:p w14:paraId="6DDD9AF0">
      <w:pPr>
        <w:spacing w:before="0" w:beforeLines="0" w:after="0" w:afterLines="0"/>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5</w:t>
      </w:r>
      <w:bookmarkStart w:id="22" w:name="_GoBack"/>
      <w:bookmarkEnd w:id="22"/>
      <w:r>
        <w:rPr>
          <w:rFonts w:hint="eastAsia"/>
          <w:color w:val="auto"/>
          <w:highlight w:val="none"/>
          <w:lang w:eastAsia="zh-CN"/>
        </w:rPr>
        <w:t>）</w:t>
      </w:r>
      <w:r>
        <w:rPr>
          <w:rFonts w:hint="eastAsia"/>
          <w:color w:val="auto"/>
          <w:highlight w:val="none"/>
        </w:rPr>
        <w:t>支持从页面上通过excel形式批量导入用户和角色关联关系，方便进行角色分配。</w:t>
      </w:r>
    </w:p>
    <w:bookmarkEnd w:id="18"/>
    <w:p w14:paraId="379179B3">
      <w:pPr>
        <w:pStyle w:val="4"/>
        <w:numPr>
          <w:ilvl w:val="2"/>
          <w:numId w:val="1"/>
        </w:numPr>
        <w:spacing w:before="0" w:beforeLines="0" w:after="0" w:afterLines="0" w:line="360" w:lineRule="auto"/>
        <w:rPr>
          <w:color w:val="auto"/>
          <w:highlight w:val="none"/>
        </w:rPr>
      </w:pPr>
      <w:r>
        <w:rPr>
          <w:rFonts w:hint="eastAsia"/>
          <w:color w:val="auto"/>
          <w:highlight w:val="none"/>
        </w:rPr>
        <w:t>NLP处理引擎</w:t>
      </w:r>
    </w:p>
    <w:p w14:paraId="62F6A875">
      <w:pPr>
        <w:pStyle w:val="45"/>
        <w:numPr>
          <w:ilvl w:val="0"/>
          <w:numId w:val="24"/>
        </w:numPr>
        <w:spacing w:before="0" w:beforeLines="0" w:after="0" w:afterLines="0"/>
        <w:rPr>
          <w:color w:val="auto"/>
          <w:highlight w:val="none"/>
        </w:rPr>
      </w:pPr>
      <w:r>
        <w:rPr>
          <w:rFonts w:hint="eastAsia"/>
          <w:color w:val="auto"/>
          <w:highlight w:val="none"/>
        </w:rPr>
        <w:t>系统需支持对病历文本进行后结构化处理</w:t>
      </w:r>
    </w:p>
    <w:p w14:paraId="2BA987F1">
      <w:pPr>
        <w:pStyle w:val="45"/>
        <w:numPr>
          <w:ilvl w:val="0"/>
          <w:numId w:val="24"/>
        </w:numPr>
        <w:spacing w:before="0" w:beforeLines="0" w:after="0" w:afterLines="0"/>
        <w:rPr>
          <w:color w:val="auto"/>
          <w:highlight w:val="none"/>
        </w:rPr>
      </w:pPr>
      <w:r>
        <w:rPr>
          <w:rFonts w:hint="eastAsia"/>
          <w:color w:val="auto"/>
          <w:highlight w:val="none"/>
        </w:rPr>
        <w:t>系统应支持对检查结果进行后结构化处理</w:t>
      </w:r>
    </w:p>
    <w:p w14:paraId="21D0F08F">
      <w:pPr>
        <w:pStyle w:val="45"/>
        <w:numPr>
          <w:ilvl w:val="0"/>
          <w:numId w:val="24"/>
        </w:numPr>
        <w:spacing w:before="0" w:beforeLines="0" w:after="0" w:afterLines="0"/>
        <w:rPr>
          <w:color w:val="auto"/>
          <w:highlight w:val="none"/>
        </w:rPr>
      </w:pPr>
      <w:r>
        <w:rPr>
          <w:rFonts w:hint="eastAsia"/>
          <w:color w:val="auto"/>
          <w:highlight w:val="none"/>
        </w:rPr>
        <w:t>系统应支持</w:t>
      </w:r>
      <w:r>
        <w:rPr>
          <w:rFonts w:hint="eastAsia" w:eastAsia="宋体" w:cs="宋体"/>
          <w:color w:val="auto"/>
          <w:szCs w:val="24"/>
          <w:highlight w:val="none"/>
        </w:rPr>
        <w:t>药品、诊断、手术、检验等医学术语进行NLP处理，并自动进行标准化映射。</w:t>
      </w:r>
    </w:p>
    <w:p w14:paraId="67A966C7">
      <w:pPr>
        <w:pStyle w:val="3"/>
        <w:numPr>
          <w:ilvl w:val="1"/>
          <w:numId w:val="1"/>
        </w:numPr>
        <w:spacing w:before="0" w:beforeLines="0" w:after="0" w:afterLines="0" w:line="360" w:lineRule="auto"/>
        <w:rPr>
          <w:color w:val="auto"/>
          <w:highlight w:val="none"/>
        </w:rPr>
      </w:pPr>
      <w:bookmarkStart w:id="19" w:name="_Toc3357"/>
      <w:r>
        <w:rPr>
          <w:color w:val="auto"/>
          <w:highlight w:val="none"/>
        </w:rPr>
        <w:t>VTE系统集成</w:t>
      </w:r>
      <w:bookmarkEnd w:id="19"/>
    </w:p>
    <w:p w14:paraId="68D8CF69">
      <w:pPr>
        <w:pStyle w:val="4"/>
        <w:numPr>
          <w:ilvl w:val="2"/>
          <w:numId w:val="1"/>
        </w:numPr>
        <w:spacing w:before="0" w:beforeLines="0" w:after="0" w:afterLines="0" w:line="360" w:lineRule="auto"/>
        <w:rPr>
          <w:color w:val="auto"/>
          <w:highlight w:val="none"/>
        </w:rPr>
      </w:pPr>
      <w:bookmarkStart w:id="20" w:name="_Toc7428"/>
      <w:r>
        <w:rPr>
          <w:color w:val="auto"/>
          <w:highlight w:val="none"/>
        </w:rPr>
        <w:t>医生端VTE智能辅助</w:t>
      </w:r>
      <w:bookmarkEnd w:id="20"/>
    </w:p>
    <w:p w14:paraId="6099D74B">
      <w:pPr>
        <w:pStyle w:val="45"/>
        <w:numPr>
          <w:ilvl w:val="0"/>
          <w:numId w:val="25"/>
        </w:numPr>
        <w:spacing w:before="0" w:beforeLines="0" w:after="0" w:afterLines="0"/>
        <w:rPr>
          <w:color w:val="auto"/>
          <w:highlight w:val="none"/>
        </w:rPr>
      </w:pPr>
      <w:r>
        <w:rPr>
          <w:rFonts w:hint="eastAsia"/>
          <w:color w:val="auto"/>
          <w:highlight w:val="none"/>
        </w:rPr>
        <w:t>系统需</w:t>
      </w:r>
      <w:r>
        <w:rPr>
          <w:color w:val="auto"/>
          <w:highlight w:val="none"/>
        </w:rPr>
        <w:t>支持与医生站系统进行对接</w:t>
      </w:r>
      <w:r>
        <w:rPr>
          <w:rFonts w:hint="eastAsia"/>
          <w:color w:val="auto"/>
          <w:highlight w:val="none"/>
        </w:rPr>
        <w:t>，实现医生端的VTE智能评估、智能辅助功能</w:t>
      </w:r>
      <w:r>
        <w:rPr>
          <w:color w:val="auto"/>
          <w:highlight w:val="none"/>
        </w:rPr>
        <w:t>。</w:t>
      </w:r>
    </w:p>
    <w:p w14:paraId="08E54485">
      <w:pPr>
        <w:pStyle w:val="45"/>
        <w:numPr>
          <w:ilvl w:val="0"/>
          <w:numId w:val="25"/>
        </w:numPr>
        <w:spacing w:before="0" w:beforeLines="0" w:after="0" w:afterLines="0"/>
        <w:rPr>
          <w:color w:val="auto"/>
          <w:highlight w:val="none"/>
        </w:rPr>
      </w:pPr>
      <w:r>
        <w:rPr>
          <w:rFonts w:hint="eastAsia"/>
          <w:color w:val="auto"/>
          <w:highlight w:val="none"/>
        </w:rPr>
        <w:t>系统需</w:t>
      </w:r>
      <w:r>
        <w:rPr>
          <w:color w:val="auto"/>
          <w:highlight w:val="none"/>
        </w:rPr>
        <w:t>支持医嘱系统、电子病历系统</w:t>
      </w:r>
      <w:r>
        <w:rPr>
          <w:rFonts w:hint="eastAsia"/>
          <w:color w:val="auto"/>
          <w:highlight w:val="none"/>
        </w:rPr>
        <w:t>推送</w:t>
      </w:r>
      <w:r>
        <w:rPr>
          <w:color w:val="auto"/>
          <w:highlight w:val="none"/>
        </w:rPr>
        <w:t>VTE风险</w:t>
      </w:r>
      <w:r>
        <w:rPr>
          <w:rFonts w:hint="eastAsia"/>
          <w:color w:val="auto"/>
          <w:highlight w:val="none"/>
        </w:rPr>
        <w:t>评估结果</w:t>
      </w:r>
      <w:r>
        <w:rPr>
          <w:color w:val="auto"/>
          <w:highlight w:val="none"/>
        </w:rPr>
        <w:t>、出血评估结果。</w:t>
      </w:r>
    </w:p>
    <w:p w14:paraId="3B10C6A7">
      <w:pPr>
        <w:pStyle w:val="45"/>
        <w:numPr>
          <w:ilvl w:val="0"/>
          <w:numId w:val="25"/>
        </w:numPr>
        <w:spacing w:before="0" w:beforeLines="0" w:after="0" w:afterLines="0"/>
        <w:rPr>
          <w:rFonts w:hint="eastAsia"/>
          <w:color w:val="auto"/>
          <w:highlight w:val="none"/>
        </w:rPr>
      </w:pPr>
      <w:r>
        <w:rPr>
          <w:rFonts w:hint="eastAsia"/>
          <w:color w:val="auto"/>
          <w:highlight w:val="none"/>
        </w:rPr>
        <w:t>系统内置VTE防治规范培训资料库，可对接上级专业指导团队资源，支持将培训内容、指导意见定向推送至各科室及对应医生。</w:t>
      </w:r>
    </w:p>
    <w:p w14:paraId="0DA1D926">
      <w:pPr>
        <w:pStyle w:val="45"/>
        <w:numPr>
          <w:ilvl w:val="0"/>
          <w:numId w:val="25"/>
        </w:numPr>
        <w:spacing w:before="0" w:beforeLines="0" w:after="0" w:afterLines="0"/>
        <w:rPr>
          <w:rFonts w:hint="eastAsia"/>
          <w:color w:val="auto"/>
          <w:highlight w:val="none"/>
        </w:rPr>
      </w:pPr>
      <w:r>
        <w:rPr>
          <w:rFonts w:hint="eastAsia"/>
          <w:color w:val="auto"/>
          <w:highlight w:val="none"/>
        </w:rPr>
        <w:t>系统支持将VTE高风险提醒、未完成评估预警、防治任务通知等消息，自动推送至对应医生的手机端，确保消息及时触达。</w:t>
      </w:r>
    </w:p>
    <w:p w14:paraId="5E8267D9">
      <w:pPr>
        <w:pStyle w:val="4"/>
        <w:numPr>
          <w:ilvl w:val="2"/>
          <w:numId w:val="1"/>
        </w:numPr>
        <w:spacing w:before="0" w:beforeLines="0" w:after="0" w:afterLines="0" w:line="360" w:lineRule="auto"/>
        <w:rPr>
          <w:color w:val="auto"/>
          <w:highlight w:val="none"/>
        </w:rPr>
      </w:pPr>
      <w:bookmarkStart w:id="21" w:name="_Toc30586"/>
      <w:r>
        <w:rPr>
          <w:color w:val="auto"/>
          <w:highlight w:val="none"/>
        </w:rPr>
        <w:t>护士端VTE智能辅助</w:t>
      </w:r>
      <w:bookmarkEnd w:id="21"/>
    </w:p>
    <w:p w14:paraId="4BD6DF40">
      <w:pPr>
        <w:pStyle w:val="45"/>
        <w:numPr>
          <w:ilvl w:val="0"/>
          <w:numId w:val="26"/>
        </w:numPr>
        <w:spacing w:before="0" w:beforeLines="0" w:after="0" w:afterLines="0"/>
        <w:rPr>
          <w:color w:val="auto"/>
          <w:highlight w:val="none"/>
        </w:rPr>
      </w:pPr>
      <w:r>
        <w:rPr>
          <w:rFonts w:hint="eastAsia"/>
          <w:color w:val="auto"/>
          <w:highlight w:val="none"/>
        </w:rPr>
        <w:t>系统需</w:t>
      </w:r>
      <w:r>
        <w:rPr>
          <w:color w:val="auto"/>
          <w:highlight w:val="none"/>
        </w:rPr>
        <w:t>支持与护士工作站系统进行对接，实现护士端的VTE智能</w:t>
      </w:r>
      <w:r>
        <w:rPr>
          <w:rFonts w:hint="eastAsia"/>
          <w:color w:val="auto"/>
          <w:highlight w:val="none"/>
        </w:rPr>
        <w:t>评估、智能</w:t>
      </w:r>
      <w:r>
        <w:rPr>
          <w:color w:val="auto"/>
          <w:highlight w:val="none"/>
        </w:rPr>
        <w:t>辅助功能。</w:t>
      </w:r>
    </w:p>
    <w:p w14:paraId="0D3F77EA">
      <w:pPr>
        <w:pStyle w:val="45"/>
        <w:numPr>
          <w:ilvl w:val="0"/>
          <w:numId w:val="26"/>
        </w:numPr>
        <w:spacing w:before="0" w:beforeLines="0" w:after="0" w:afterLines="0"/>
        <w:rPr>
          <w:color w:val="auto"/>
          <w:highlight w:val="none"/>
        </w:rPr>
      </w:pPr>
      <w:r>
        <w:rPr>
          <w:rFonts w:hint="eastAsia"/>
          <w:color w:val="auto"/>
          <w:highlight w:val="none"/>
        </w:rPr>
        <w:t>系统需</w:t>
      </w:r>
      <w:r>
        <w:rPr>
          <w:color w:val="auto"/>
          <w:highlight w:val="none"/>
        </w:rPr>
        <w:t>支持向护士工作站系统、护理病历系统</w:t>
      </w:r>
      <w:r>
        <w:rPr>
          <w:rFonts w:hint="eastAsia"/>
          <w:color w:val="auto"/>
          <w:highlight w:val="none"/>
        </w:rPr>
        <w:t>推送</w:t>
      </w:r>
      <w:r>
        <w:rPr>
          <w:color w:val="auto"/>
          <w:highlight w:val="none"/>
        </w:rPr>
        <w:t>VTE风险、出血评估结果信息。</w:t>
      </w:r>
    </w:p>
    <w:p w14:paraId="03727E01">
      <w:pPr>
        <w:spacing w:before="0" w:beforeLines="0" w:after="0" w:afterLines="0"/>
        <w:ind w:firstLine="480"/>
        <w:rPr>
          <w:color w:val="auto"/>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701" w:right="1418" w:bottom="1134" w:left="1418" w:header="964" w:footer="567" w:gutter="0"/>
      <w:cols w:space="425"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panose1 w:val="02010509060101010101"/>
    <w:charset w:val="86"/>
    <w:family w:val="modern"/>
    <w:pitch w:val="default"/>
    <w:sig w:usb0="00000001" w:usb1="080E0000" w:usb2="00000000" w:usb3="00000000" w:csb0="00040000" w:csb1="00000000"/>
  </w:font>
  <w:font w:name="SimSun-ExtB">
    <w:panose1 w:val="02010609060101010101"/>
    <w:charset w:val="86"/>
    <w:family w:val="modern"/>
    <w:pitch w:val="default"/>
    <w:sig w:usb0="00000001" w:usb1="02000000" w:usb2="00000000"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szCs w:val="21"/>
      </w:rPr>
    </w:sdtEndPr>
    <w:sdtContent>
      <w:p w14:paraId="125A2F0F">
        <w:pPr>
          <w:pStyle w:val="20"/>
          <w:spacing w:before="60" w:after="60"/>
          <w:jc w:val="center"/>
          <w:rPr>
            <w:szCs w:val="21"/>
          </w:rPr>
        </w:pPr>
        <w:r>
          <w:rPr>
            <w:szCs w:val="21"/>
          </w:rPr>
          <w:fldChar w:fldCharType="begin"/>
        </w:r>
        <w:r>
          <w:rPr>
            <w:szCs w:val="21"/>
          </w:rPr>
          <w:instrText xml:space="preserve">PAGE   \* MERGEFORMAT</w:instrText>
        </w:r>
        <w:r>
          <w:rPr>
            <w:szCs w:val="21"/>
          </w:rPr>
          <w:fldChar w:fldCharType="separate"/>
        </w:r>
        <w:r>
          <w:rPr>
            <w:szCs w:val="21"/>
            <w:lang w:val="zh-CN"/>
          </w:rPr>
          <w:t>1</w:t>
        </w:r>
        <w:r>
          <w:rPr>
            <w:szCs w:val="21"/>
          </w:rPr>
          <w:fldChar w:fldCharType="end"/>
        </w:r>
      </w:p>
    </w:sdtContent>
  </w:sdt>
  <w:p w14:paraId="28CBFC1C">
    <w:pPr>
      <w:pStyle w:val="20"/>
      <w:spacing w:beforeLines="0" w:afterLines="0" w:line="14" w:lineRule="auto"/>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D52D3">
    <w:pPr>
      <w:pStyle w:val="20"/>
      <w:spacing w:before="60" w:after="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4ADA">
    <w:pPr>
      <w:pStyle w:val="20"/>
      <w:spacing w:before="60" w:after="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915FC">
    <w:pPr>
      <w:pStyle w:val="21"/>
      <w:pBdr>
        <w:bottom w:val="single" w:color="auto" w:sz="4" w:space="1"/>
      </w:pBdr>
      <w:spacing w:before="60" w:after="60"/>
      <w:ind w:firstLine="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2B1CA">
    <w:pPr>
      <w:pStyle w:val="21"/>
      <w:spacing w:before="60" w:after="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FFD48">
    <w:pPr>
      <w:pStyle w:val="21"/>
      <w:pBdr>
        <w:bottom w:val="none" w:color="auto" w:sz="0" w:space="1"/>
      </w:pBdr>
      <w:spacing w:before="60" w:after="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7733DB"/>
    <w:multiLevelType w:val="singleLevel"/>
    <w:tmpl w:val="A07733DB"/>
    <w:lvl w:ilvl="0" w:tentative="0">
      <w:start w:val="1"/>
      <w:numFmt w:val="decimal"/>
      <w:lvlText w:val="(%1)"/>
      <w:lvlJc w:val="left"/>
      <w:pPr>
        <w:tabs>
          <w:tab w:val="left" w:pos="420"/>
        </w:tabs>
        <w:ind w:left="845" w:hanging="425"/>
      </w:pPr>
      <w:rPr>
        <w:rFonts w:hint="default"/>
      </w:rPr>
    </w:lvl>
  </w:abstractNum>
  <w:abstractNum w:abstractNumId="1">
    <w:nsid w:val="C1902A25"/>
    <w:multiLevelType w:val="singleLevel"/>
    <w:tmpl w:val="C1902A25"/>
    <w:lvl w:ilvl="0" w:tentative="0">
      <w:start w:val="1"/>
      <w:numFmt w:val="decimal"/>
      <w:lvlText w:val="(%1)"/>
      <w:lvlJc w:val="left"/>
      <w:pPr>
        <w:tabs>
          <w:tab w:val="left" w:pos="420"/>
        </w:tabs>
        <w:ind w:left="845" w:hanging="425"/>
      </w:pPr>
      <w:rPr>
        <w:rFonts w:hint="default"/>
      </w:rPr>
    </w:lvl>
  </w:abstractNum>
  <w:abstractNum w:abstractNumId="2">
    <w:nsid w:val="DF465F7C"/>
    <w:multiLevelType w:val="singleLevel"/>
    <w:tmpl w:val="DF465F7C"/>
    <w:lvl w:ilvl="0" w:tentative="0">
      <w:start w:val="1"/>
      <w:numFmt w:val="decimal"/>
      <w:lvlText w:val="(%1)"/>
      <w:lvlJc w:val="left"/>
      <w:pPr>
        <w:tabs>
          <w:tab w:val="left" w:pos="420"/>
        </w:tabs>
        <w:ind w:left="845" w:hanging="425"/>
      </w:pPr>
      <w:rPr>
        <w:rFonts w:hint="default" w:ascii="Times New Roman" w:hAnsi="Times New Roman" w:cs="Times New Roman"/>
      </w:rPr>
    </w:lvl>
  </w:abstractNum>
  <w:abstractNum w:abstractNumId="3">
    <w:nsid w:val="E8F08660"/>
    <w:multiLevelType w:val="multilevel"/>
    <w:tmpl w:val="E8F08660"/>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FFFFFF7E"/>
    <w:multiLevelType w:val="singleLevel"/>
    <w:tmpl w:val="FFFFFF7E"/>
    <w:lvl w:ilvl="0" w:tentative="0">
      <w:start w:val="1"/>
      <w:numFmt w:val="decimal"/>
      <w:pStyle w:val="18"/>
      <w:lvlText w:val="%1."/>
      <w:lvlJc w:val="left"/>
      <w:pPr>
        <w:tabs>
          <w:tab w:val="left" w:pos="1200"/>
        </w:tabs>
        <w:ind w:left="1200" w:hanging="360"/>
      </w:pPr>
    </w:lvl>
  </w:abstractNum>
  <w:abstractNum w:abstractNumId="5">
    <w:nsid w:val="01A8394D"/>
    <w:multiLevelType w:val="multilevel"/>
    <w:tmpl w:val="01A8394D"/>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03492808"/>
    <w:multiLevelType w:val="multilevel"/>
    <w:tmpl w:val="03492808"/>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192B3195"/>
    <w:multiLevelType w:val="multilevel"/>
    <w:tmpl w:val="192B3195"/>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pStyle w:val="57"/>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977250E"/>
    <w:multiLevelType w:val="multilevel"/>
    <w:tmpl w:val="1977250E"/>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25BD095C"/>
    <w:multiLevelType w:val="multilevel"/>
    <w:tmpl w:val="25BD095C"/>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26929B17"/>
    <w:multiLevelType w:val="multilevel"/>
    <w:tmpl w:val="26929B17"/>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2A7E5630"/>
    <w:multiLevelType w:val="multilevel"/>
    <w:tmpl w:val="2A7E5630"/>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36730974"/>
    <w:multiLevelType w:val="multilevel"/>
    <w:tmpl w:val="36730974"/>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rFonts w:hint="eastAsia"/>
      </w:rPr>
    </w:lvl>
    <w:lvl w:ilvl="2" w:tentative="0">
      <w:start w:val="1"/>
      <w:numFmt w:val="decimal"/>
      <w:pStyle w:val="4"/>
      <w:lvlText w:val="%1.%2.%3"/>
      <w:lvlJc w:val="left"/>
      <w:pPr>
        <w:ind w:left="720" w:hanging="720"/>
      </w:pPr>
      <w:rPr>
        <w:rFonts w:hint="eastAsia"/>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13">
    <w:nsid w:val="3C250CF5"/>
    <w:multiLevelType w:val="multilevel"/>
    <w:tmpl w:val="3C250CF5"/>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419657DF"/>
    <w:multiLevelType w:val="multilevel"/>
    <w:tmpl w:val="419657DF"/>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4E441AB8"/>
    <w:multiLevelType w:val="singleLevel"/>
    <w:tmpl w:val="4E441AB8"/>
    <w:lvl w:ilvl="0" w:tentative="0">
      <w:start w:val="1"/>
      <w:numFmt w:val="decimal"/>
      <w:lvlText w:val="(%1)"/>
      <w:lvlJc w:val="left"/>
      <w:pPr>
        <w:tabs>
          <w:tab w:val="left" w:pos="420"/>
        </w:tabs>
        <w:ind w:left="845" w:hanging="425"/>
      </w:pPr>
      <w:rPr>
        <w:rFonts w:hint="default"/>
      </w:rPr>
    </w:lvl>
  </w:abstractNum>
  <w:abstractNum w:abstractNumId="16">
    <w:nsid w:val="557B1B73"/>
    <w:multiLevelType w:val="multilevel"/>
    <w:tmpl w:val="557B1B73"/>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5A649D67"/>
    <w:multiLevelType w:val="multilevel"/>
    <w:tmpl w:val="5A649D67"/>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5BAB00EF"/>
    <w:multiLevelType w:val="multilevel"/>
    <w:tmpl w:val="5BAB00EF"/>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5E7B164B"/>
    <w:multiLevelType w:val="multilevel"/>
    <w:tmpl w:val="5E7B164B"/>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629073F4"/>
    <w:multiLevelType w:val="singleLevel"/>
    <w:tmpl w:val="629073F4"/>
    <w:lvl w:ilvl="0" w:tentative="0">
      <w:start w:val="1"/>
      <w:numFmt w:val="decimal"/>
      <w:lvlText w:val="(%1)"/>
      <w:lvlJc w:val="left"/>
      <w:pPr>
        <w:ind w:left="425" w:hanging="425"/>
      </w:pPr>
      <w:rPr>
        <w:rFonts w:hint="default" w:ascii="Times New Roman" w:hAnsi="Times New Roman" w:cs="Times New Roman"/>
      </w:rPr>
    </w:lvl>
  </w:abstractNum>
  <w:abstractNum w:abstractNumId="21">
    <w:nsid w:val="6E673325"/>
    <w:multiLevelType w:val="multilevel"/>
    <w:tmpl w:val="6E673325"/>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70B35A58"/>
    <w:multiLevelType w:val="multilevel"/>
    <w:tmpl w:val="70B35A58"/>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71367260"/>
    <w:multiLevelType w:val="multilevel"/>
    <w:tmpl w:val="71367260"/>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727A41A7"/>
    <w:multiLevelType w:val="singleLevel"/>
    <w:tmpl w:val="727A41A7"/>
    <w:lvl w:ilvl="0" w:tentative="0">
      <w:start w:val="1"/>
      <w:numFmt w:val="decimal"/>
      <w:lvlText w:val="(%1)"/>
      <w:lvlJc w:val="left"/>
      <w:pPr>
        <w:tabs>
          <w:tab w:val="left" w:pos="420"/>
        </w:tabs>
        <w:ind w:left="845" w:hanging="425"/>
      </w:pPr>
      <w:rPr>
        <w:rFonts w:hint="default" w:ascii="Times New Roman" w:hAnsi="Times New Roman" w:cs="Times New Roman"/>
      </w:rPr>
    </w:lvl>
  </w:abstractNum>
  <w:abstractNum w:abstractNumId="25">
    <w:nsid w:val="7F2DDF77"/>
    <w:multiLevelType w:val="multilevel"/>
    <w:tmpl w:val="7F2DDF77"/>
    <w:lvl w:ilvl="0" w:tentative="0">
      <w:start w:val="1"/>
      <w:numFmt w:val="decimal"/>
      <w:lvlText w:val="(%1)"/>
      <w:lvlJc w:val="left"/>
      <w:pPr>
        <w:ind w:left="900" w:hanging="420"/>
      </w:pPr>
      <w:rPr>
        <w:rFonts w:hint="default" w:ascii="Times New Roman" w:hAnsi="Times New Roman"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2"/>
  </w:num>
  <w:num w:numId="2">
    <w:abstractNumId w:val="4"/>
  </w:num>
  <w:num w:numId="3">
    <w:abstractNumId w:val="7"/>
  </w:num>
  <w:num w:numId="4">
    <w:abstractNumId w:val="1"/>
  </w:num>
  <w:num w:numId="5">
    <w:abstractNumId w:val="20"/>
  </w:num>
  <w:num w:numId="6">
    <w:abstractNumId w:val="24"/>
  </w:num>
  <w:num w:numId="7">
    <w:abstractNumId w:val="5"/>
  </w:num>
  <w:num w:numId="8">
    <w:abstractNumId w:val="16"/>
  </w:num>
  <w:num w:numId="9">
    <w:abstractNumId w:val="18"/>
  </w:num>
  <w:num w:numId="10">
    <w:abstractNumId w:val="13"/>
  </w:num>
  <w:num w:numId="11">
    <w:abstractNumId w:val="2"/>
  </w:num>
  <w:num w:numId="12">
    <w:abstractNumId w:val="22"/>
  </w:num>
  <w:num w:numId="13">
    <w:abstractNumId w:val="21"/>
  </w:num>
  <w:num w:numId="14">
    <w:abstractNumId w:val="23"/>
  </w:num>
  <w:num w:numId="15">
    <w:abstractNumId w:val="9"/>
  </w:num>
  <w:num w:numId="16">
    <w:abstractNumId w:val="19"/>
  </w:num>
  <w:num w:numId="17">
    <w:abstractNumId w:val="25"/>
  </w:num>
  <w:num w:numId="18">
    <w:abstractNumId w:val="14"/>
  </w:num>
  <w:num w:numId="19">
    <w:abstractNumId w:val="8"/>
  </w:num>
  <w:num w:numId="20">
    <w:abstractNumId w:val="17"/>
  </w:num>
  <w:num w:numId="21">
    <w:abstractNumId w:val="15"/>
  </w:num>
  <w:num w:numId="22">
    <w:abstractNumId w:val="0"/>
  </w:num>
  <w:num w:numId="23">
    <w:abstractNumId w:val="10"/>
  </w:num>
  <w:num w:numId="24">
    <w:abstractNumId w:val="3"/>
  </w:num>
  <w:num w:numId="25">
    <w:abstractNumId w:val="6"/>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30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FiMGFkOGNkZGJhZTNiNGJkMjFiNWQwNDMyMDNmNDMifQ=="/>
  </w:docVars>
  <w:rsids>
    <w:rsidRoot w:val="00EC015F"/>
    <w:rsid w:val="00012BEA"/>
    <w:rsid w:val="00041BCB"/>
    <w:rsid w:val="00052198"/>
    <w:rsid w:val="00053492"/>
    <w:rsid w:val="00054CA0"/>
    <w:rsid w:val="000574D2"/>
    <w:rsid w:val="00057C5B"/>
    <w:rsid w:val="00060BF2"/>
    <w:rsid w:val="00061DDA"/>
    <w:rsid w:val="000624CE"/>
    <w:rsid w:val="00062EBD"/>
    <w:rsid w:val="0006325C"/>
    <w:rsid w:val="00066BDE"/>
    <w:rsid w:val="0007166D"/>
    <w:rsid w:val="0007169E"/>
    <w:rsid w:val="00076638"/>
    <w:rsid w:val="00076E62"/>
    <w:rsid w:val="000817BB"/>
    <w:rsid w:val="00084440"/>
    <w:rsid w:val="00086A98"/>
    <w:rsid w:val="0009359A"/>
    <w:rsid w:val="00093639"/>
    <w:rsid w:val="0009493F"/>
    <w:rsid w:val="00094A95"/>
    <w:rsid w:val="000B48D7"/>
    <w:rsid w:val="000C04BC"/>
    <w:rsid w:val="000C2605"/>
    <w:rsid w:val="000C30C5"/>
    <w:rsid w:val="000D1529"/>
    <w:rsid w:val="000D551C"/>
    <w:rsid w:val="000D701F"/>
    <w:rsid w:val="000D7623"/>
    <w:rsid w:val="000D7DD9"/>
    <w:rsid w:val="000D7F09"/>
    <w:rsid w:val="000D7FA7"/>
    <w:rsid w:val="000E0A24"/>
    <w:rsid w:val="000E3773"/>
    <w:rsid w:val="000E6DF5"/>
    <w:rsid w:val="000E7126"/>
    <w:rsid w:val="000F114D"/>
    <w:rsid w:val="000F252E"/>
    <w:rsid w:val="000F3A2A"/>
    <w:rsid w:val="00101BCD"/>
    <w:rsid w:val="00101F13"/>
    <w:rsid w:val="00104CA7"/>
    <w:rsid w:val="001102F6"/>
    <w:rsid w:val="00117B84"/>
    <w:rsid w:val="001244FB"/>
    <w:rsid w:val="0012450C"/>
    <w:rsid w:val="00127FFA"/>
    <w:rsid w:val="00130CA8"/>
    <w:rsid w:val="001314B2"/>
    <w:rsid w:val="0013157A"/>
    <w:rsid w:val="00133BB0"/>
    <w:rsid w:val="001357A3"/>
    <w:rsid w:val="00155419"/>
    <w:rsid w:val="0015713E"/>
    <w:rsid w:val="00162096"/>
    <w:rsid w:val="001746B0"/>
    <w:rsid w:val="001778A9"/>
    <w:rsid w:val="00177F74"/>
    <w:rsid w:val="001800F6"/>
    <w:rsid w:val="00182720"/>
    <w:rsid w:val="001841A6"/>
    <w:rsid w:val="001957A4"/>
    <w:rsid w:val="00196391"/>
    <w:rsid w:val="001A06ED"/>
    <w:rsid w:val="001A3E87"/>
    <w:rsid w:val="001A4BBB"/>
    <w:rsid w:val="001A5CCA"/>
    <w:rsid w:val="001B006F"/>
    <w:rsid w:val="001B208C"/>
    <w:rsid w:val="001B21A8"/>
    <w:rsid w:val="001B67FB"/>
    <w:rsid w:val="001B7F62"/>
    <w:rsid w:val="001C0782"/>
    <w:rsid w:val="001C1546"/>
    <w:rsid w:val="001C2E1A"/>
    <w:rsid w:val="001C366F"/>
    <w:rsid w:val="001C3E8F"/>
    <w:rsid w:val="001C5D13"/>
    <w:rsid w:val="001C7ECE"/>
    <w:rsid w:val="001D0387"/>
    <w:rsid w:val="001D348A"/>
    <w:rsid w:val="001D5776"/>
    <w:rsid w:val="001D5FA9"/>
    <w:rsid w:val="001D7D65"/>
    <w:rsid w:val="001E0EAE"/>
    <w:rsid w:val="001E413D"/>
    <w:rsid w:val="001E778E"/>
    <w:rsid w:val="001F20EA"/>
    <w:rsid w:val="001F44DC"/>
    <w:rsid w:val="00200802"/>
    <w:rsid w:val="002027DF"/>
    <w:rsid w:val="00204CE1"/>
    <w:rsid w:val="00216793"/>
    <w:rsid w:val="00224BD5"/>
    <w:rsid w:val="0022638F"/>
    <w:rsid w:val="0023361E"/>
    <w:rsid w:val="00233742"/>
    <w:rsid w:val="00240121"/>
    <w:rsid w:val="0024069C"/>
    <w:rsid w:val="00246321"/>
    <w:rsid w:val="00247114"/>
    <w:rsid w:val="0025459B"/>
    <w:rsid w:val="00256DA3"/>
    <w:rsid w:val="002611EB"/>
    <w:rsid w:val="0026227B"/>
    <w:rsid w:val="00262F05"/>
    <w:rsid w:val="00266336"/>
    <w:rsid w:val="00271185"/>
    <w:rsid w:val="00271F7B"/>
    <w:rsid w:val="0027340C"/>
    <w:rsid w:val="002735CB"/>
    <w:rsid w:val="0027601A"/>
    <w:rsid w:val="00281F95"/>
    <w:rsid w:val="00285902"/>
    <w:rsid w:val="002951C4"/>
    <w:rsid w:val="00297525"/>
    <w:rsid w:val="002A452D"/>
    <w:rsid w:val="002A672A"/>
    <w:rsid w:val="002A6D1B"/>
    <w:rsid w:val="002A7754"/>
    <w:rsid w:val="002B0374"/>
    <w:rsid w:val="002B38A8"/>
    <w:rsid w:val="002B5EA6"/>
    <w:rsid w:val="002C2394"/>
    <w:rsid w:val="002C669C"/>
    <w:rsid w:val="002C69CE"/>
    <w:rsid w:val="002C6DC5"/>
    <w:rsid w:val="002C7F85"/>
    <w:rsid w:val="002D23F5"/>
    <w:rsid w:val="002D4278"/>
    <w:rsid w:val="002D5FA5"/>
    <w:rsid w:val="002E7CA6"/>
    <w:rsid w:val="002F025C"/>
    <w:rsid w:val="003020BB"/>
    <w:rsid w:val="003051C4"/>
    <w:rsid w:val="003059ED"/>
    <w:rsid w:val="00305E93"/>
    <w:rsid w:val="00310367"/>
    <w:rsid w:val="0031540B"/>
    <w:rsid w:val="00316294"/>
    <w:rsid w:val="003301C7"/>
    <w:rsid w:val="00334D62"/>
    <w:rsid w:val="0033579B"/>
    <w:rsid w:val="00335852"/>
    <w:rsid w:val="003373AF"/>
    <w:rsid w:val="0034029E"/>
    <w:rsid w:val="00345299"/>
    <w:rsid w:val="003457A7"/>
    <w:rsid w:val="00347125"/>
    <w:rsid w:val="00353713"/>
    <w:rsid w:val="00354A9B"/>
    <w:rsid w:val="00354E6E"/>
    <w:rsid w:val="00356080"/>
    <w:rsid w:val="00370719"/>
    <w:rsid w:val="00371F22"/>
    <w:rsid w:val="0037710C"/>
    <w:rsid w:val="00381F0F"/>
    <w:rsid w:val="00384CC0"/>
    <w:rsid w:val="00386CBC"/>
    <w:rsid w:val="003972E4"/>
    <w:rsid w:val="003A0C61"/>
    <w:rsid w:val="003A1327"/>
    <w:rsid w:val="003A3B89"/>
    <w:rsid w:val="003B057D"/>
    <w:rsid w:val="003B3F61"/>
    <w:rsid w:val="003C237C"/>
    <w:rsid w:val="003C3657"/>
    <w:rsid w:val="003C377B"/>
    <w:rsid w:val="003C63ED"/>
    <w:rsid w:val="003D0AD7"/>
    <w:rsid w:val="003D23CD"/>
    <w:rsid w:val="003D2A7E"/>
    <w:rsid w:val="003D47E7"/>
    <w:rsid w:val="003D536F"/>
    <w:rsid w:val="003E0C9A"/>
    <w:rsid w:val="003F1FB5"/>
    <w:rsid w:val="003F5457"/>
    <w:rsid w:val="00407614"/>
    <w:rsid w:val="004114EC"/>
    <w:rsid w:val="004144DC"/>
    <w:rsid w:val="00417F64"/>
    <w:rsid w:val="0042303E"/>
    <w:rsid w:val="004277C9"/>
    <w:rsid w:val="00436E05"/>
    <w:rsid w:val="00441B8B"/>
    <w:rsid w:val="004428F7"/>
    <w:rsid w:val="00443108"/>
    <w:rsid w:val="00443541"/>
    <w:rsid w:val="00446403"/>
    <w:rsid w:val="00446A75"/>
    <w:rsid w:val="004479E5"/>
    <w:rsid w:val="0045081E"/>
    <w:rsid w:val="0045302B"/>
    <w:rsid w:val="004568B9"/>
    <w:rsid w:val="00456934"/>
    <w:rsid w:val="004625BD"/>
    <w:rsid w:val="0046402F"/>
    <w:rsid w:val="00465B78"/>
    <w:rsid w:val="00474BA7"/>
    <w:rsid w:val="00480280"/>
    <w:rsid w:val="0048080C"/>
    <w:rsid w:val="004856AF"/>
    <w:rsid w:val="00486BED"/>
    <w:rsid w:val="0049310D"/>
    <w:rsid w:val="00497B30"/>
    <w:rsid w:val="004A0D35"/>
    <w:rsid w:val="004A18ED"/>
    <w:rsid w:val="004A4740"/>
    <w:rsid w:val="004B70E9"/>
    <w:rsid w:val="004C068A"/>
    <w:rsid w:val="004D24CF"/>
    <w:rsid w:val="004D7DB0"/>
    <w:rsid w:val="004E504B"/>
    <w:rsid w:val="004F3421"/>
    <w:rsid w:val="004F6E15"/>
    <w:rsid w:val="004F78FC"/>
    <w:rsid w:val="00502C4C"/>
    <w:rsid w:val="0050327F"/>
    <w:rsid w:val="005105A1"/>
    <w:rsid w:val="00511960"/>
    <w:rsid w:val="00522E01"/>
    <w:rsid w:val="00523B33"/>
    <w:rsid w:val="005325AF"/>
    <w:rsid w:val="00533374"/>
    <w:rsid w:val="00533606"/>
    <w:rsid w:val="005378CC"/>
    <w:rsid w:val="00554D18"/>
    <w:rsid w:val="00554DAD"/>
    <w:rsid w:val="005550BE"/>
    <w:rsid w:val="00555A1F"/>
    <w:rsid w:val="0055735E"/>
    <w:rsid w:val="0056216D"/>
    <w:rsid w:val="005718D3"/>
    <w:rsid w:val="00571B13"/>
    <w:rsid w:val="0057225D"/>
    <w:rsid w:val="0057726A"/>
    <w:rsid w:val="0057780C"/>
    <w:rsid w:val="00577B0A"/>
    <w:rsid w:val="00580B1D"/>
    <w:rsid w:val="005836E5"/>
    <w:rsid w:val="00584E0A"/>
    <w:rsid w:val="005866E4"/>
    <w:rsid w:val="00586E0F"/>
    <w:rsid w:val="00590E15"/>
    <w:rsid w:val="00591BCA"/>
    <w:rsid w:val="00595065"/>
    <w:rsid w:val="005A4E9A"/>
    <w:rsid w:val="005A5695"/>
    <w:rsid w:val="005A5F27"/>
    <w:rsid w:val="005A62FC"/>
    <w:rsid w:val="005A66C3"/>
    <w:rsid w:val="005B2C14"/>
    <w:rsid w:val="005B2C3F"/>
    <w:rsid w:val="005B58E0"/>
    <w:rsid w:val="005B6766"/>
    <w:rsid w:val="005C6338"/>
    <w:rsid w:val="005D113D"/>
    <w:rsid w:val="005D2647"/>
    <w:rsid w:val="005D61F9"/>
    <w:rsid w:val="005D6AE3"/>
    <w:rsid w:val="005E1EF7"/>
    <w:rsid w:val="005E45E7"/>
    <w:rsid w:val="005E6D6D"/>
    <w:rsid w:val="005F369F"/>
    <w:rsid w:val="00604660"/>
    <w:rsid w:val="00604693"/>
    <w:rsid w:val="00606D61"/>
    <w:rsid w:val="006106A8"/>
    <w:rsid w:val="006123BE"/>
    <w:rsid w:val="0061260C"/>
    <w:rsid w:val="006134B8"/>
    <w:rsid w:val="006226B1"/>
    <w:rsid w:val="00624393"/>
    <w:rsid w:val="00630BA9"/>
    <w:rsid w:val="006323DF"/>
    <w:rsid w:val="00635CEC"/>
    <w:rsid w:val="006432B7"/>
    <w:rsid w:val="0064718C"/>
    <w:rsid w:val="00651CA0"/>
    <w:rsid w:val="00653085"/>
    <w:rsid w:val="00654822"/>
    <w:rsid w:val="006554FB"/>
    <w:rsid w:val="0066200C"/>
    <w:rsid w:val="00667CF1"/>
    <w:rsid w:val="00673106"/>
    <w:rsid w:val="00673FDA"/>
    <w:rsid w:val="00676EBD"/>
    <w:rsid w:val="00683033"/>
    <w:rsid w:val="00684196"/>
    <w:rsid w:val="006909B1"/>
    <w:rsid w:val="0069175C"/>
    <w:rsid w:val="006935D1"/>
    <w:rsid w:val="00694D77"/>
    <w:rsid w:val="00694F82"/>
    <w:rsid w:val="006A63E5"/>
    <w:rsid w:val="006C0BBC"/>
    <w:rsid w:val="006C0E89"/>
    <w:rsid w:val="006C19EA"/>
    <w:rsid w:val="006C5D7E"/>
    <w:rsid w:val="006C6853"/>
    <w:rsid w:val="006D4CCF"/>
    <w:rsid w:val="006D51CE"/>
    <w:rsid w:val="006D7E8E"/>
    <w:rsid w:val="006E7BCA"/>
    <w:rsid w:val="006F1468"/>
    <w:rsid w:val="006F3847"/>
    <w:rsid w:val="006F7E89"/>
    <w:rsid w:val="007016B2"/>
    <w:rsid w:val="00701A37"/>
    <w:rsid w:val="007036B2"/>
    <w:rsid w:val="007036B8"/>
    <w:rsid w:val="00704D9B"/>
    <w:rsid w:val="0071010F"/>
    <w:rsid w:val="00712687"/>
    <w:rsid w:val="00713897"/>
    <w:rsid w:val="00717357"/>
    <w:rsid w:val="00720D99"/>
    <w:rsid w:val="00722DF4"/>
    <w:rsid w:val="0072459D"/>
    <w:rsid w:val="00724745"/>
    <w:rsid w:val="00724B1E"/>
    <w:rsid w:val="0072720C"/>
    <w:rsid w:val="00727783"/>
    <w:rsid w:val="00731353"/>
    <w:rsid w:val="00733E64"/>
    <w:rsid w:val="00734396"/>
    <w:rsid w:val="00740508"/>
    <w:rsid w:val="007428B2"/>
    <w:rsid w:val="0074704F"/>
    <w:rsid w:val="00752204"/>
    <w:rsid w:val="00753ADF"/>
    <w:rsid w:val="00760429"/>
    <w:rsid w:val="00760548"/>
    <w:rsid w:val="00774360"/>
    <w:rsid w:val="007802B3"/>
    <w:rsid w:val="007810D0"/>
    <w:rsid w:val="0078792E"/>
    <w:rsid w:val="00790530"/>
    <w:rsid w:val="007942E9"/>
    <w:rsid w:val="0079687C"/>
    <w:rsid w:val="007A3810"/>
    <w:rsid w:val="007A3E1C"/>
    <w:rsid w:val="007B021C"/>
    <w:rsid w:val="007B044A"/>
    <w:rsid w:val="007B30FF"/>
    <w:rsid w:val="007B4B79"/>
    <w:rsid w:val="007C49A8"/>
    <w:rsid w:val="007D6F2F"/>
    <w:rsid w:val="007E0262"/>
    <w:rsid w:val="007E2398"/>
    <w:rsid w:val="007E3747"/>
    <w:rsid w:val="007E6638"/>
    <w:rsid w:val="007F3741"/>
    <w:rsid w:val="007F4BFE"/>
    <w:rsid w:val="00806C55"/>
    <w:rsid w:val="008157A4"/>
    <w:rsid w:val="008164C4"/>
    <w:rsid w:val="00816501"/>
    <w:rsid w:val="008248F3"/>
    <w:rsid w:val="008266DF"/>
    <w:rsid w:val="0083174B"/>
    <w:rsid w:val="008322A0"/>
    <w:rsid w:val="00835B26"/>
    <w:rsid w:val="00836B8A"/>
    <w:rsid w:val="00837CC8"/>
    <w:rsid w:val="00841B81"/>
    <w:rsid w:val="00843221"/>
    <w:rsid w:val="008453F4"/>
    <w:rsid w:val="008527B2"/>
    <w:rsid w:val="00856939"/>
    <w:rsid w:val="008607EA"/>
    <w:rsid w:val="00862662"/>
    <w:rsid w:val="00862FE7"/>
    <w:rsid w:val="00865DEE"/>
    <w:rsid w:val="00870416"/>
    <w:rsid w:val="00870B91"/>
    <w:rsid w:val="008741C7"/>
    <w:rsid w:val="00881AF3"/>
    <w:rsid w:val="00883272"/>
    <w:rsid w:val="00885162"/>
    <w:rsid w:val="00887A4D"/>
    <w:rsid w:val="00892FB3"/>
    <w:rsid w:val="008A0750"/>
    <w:rsid w:val="008A2AE3"/>
    <w:rsid w:val="008A7EC8"/>
    <w:rsid w:val="008B1A6F"/>
    <w:rsid w:val="008C182B"/>
    <w:rsid w:val="008C5141"/>
    <w:rsid w:val="008C715C"/>
    <w:rsid w:val="008C77DC"/>
    <w:rsid w:val="008C7A81"/>
    <w:rsid w:val="008D0CE1"/>
    <w:rsid w:val="008D2C5E"/>
    <w:rsid w:val="008D67A0"/>
    <w:rsid w:val="008E3756"/>
    <w:rsid w:val="008F15F0"/>
    <w:rsid w:val="008F2462"/>
    <w:rsid w:val="008F44A8"/>
    <w:rsid w:val="00900EB6"/>
    <w:rsid w:val="00916D66"/>
    <w:rsid w:val="009171FB"/>
    <w:rsid w:val="00920DC9"/>
    <w:rsid w:val="00924104"/>
    <w:rsid w:val="00924B34"/>
    <w:rsid w:val="009268B1"/>
    <w:rsid w:val="00926B24"/>
    <w:rsid w:val="00926E84"/>
    <w:rsid w:val="009355F8"/>
    <w:rsid w:val="00950B2C"/>
    <w:rsid w:val="00954871"/>
    <w:rsid w:val="009557B7"/>
    <w:rsid w:val="0096342A"/>
    <w:rsid w:val="00964038"/>
    <w:rsid w:val="00965CD8"/>
    <w:rsid w:val="0097184C"/>
    <w:rsid w:val="0097341D"/>
    <w:rsid w:val="009921A3"/>
    <w:rsid w:val="00992277"/>
    <w:rsid w:val="00992BFE"/>
    <w:rsid w:val="00997338"/>
    <w:rsid w:val="009A3B79"/>
    <w:rsid w:val="009A43B3"/>
    <w:rsid w:val="009B2032"/>
    <w:rsid w:val="009B352E"/>
    <w:rsid w:val="009B6155"/>
    <w:rsid w:val="009B7098"/>
    <w:rsid w:val="009B7949"/>
    <w:rsid w:val="009C0EF8"/>
    <w:rsid w:val="009C3D07"/>
    <w:rsid w:val="009D1796"/>
    <w:rsid w:val="009D6689"/>
    <w:rsid w:val="009E0D7D"/>
    <w:rsid w:val="009E54B3"/>
    <w:rsid w:val="009E7819"/>
    <w:rsid w:val="009F07E3"/>
    <w:rsid w:val="009F1785"/>
    <w:rsid w:val="009F20A5"/>
    <w:rsid w:val="009F4369"/>
    <w:rsid w:val="00A01DE5"/>
    <w:rsid w:val="00A0387D"/>
    <w:rsid w:val="00A03BC7"/>
    <w:rsid w:val="00A1438A"/>
    <w:rsid w:val="00A14892"/>
    <w:rsid w:val="00A17087"/>
    <w:rsid w:val="00A22492"/>
    <w:rsid w:val="00A238DD"/>
    <w:rsid w:val="00A24854"/>
    <w:rsid w:val="00A24C60"/>
    <w:rsid w:val="00A277D5"/>
    <w:rsid w:val="00A31F73"/>
    <w:rsid w:val="00A35217"/>
    <w:rsid w:val="00A356AE"/>
    <w:rsid w:val="00A43C86"/>
    <w:rsid w:val="00A51D25"/>
    <w:rsid w:val="00A539E1"/>
    <w:rsid w:val="00A560BA"/>
    <w:rsid w:val="00A63AA8"/>
    <w:rsid w:val="00A6612A"/>
    <w:rsid w:val="00A76954"/>
    <w:rsid w:val="00A83621"/>
    <w:rsid w:val="00A8571F"/>
    <w:rsid w:val="00A85B16"/>
    <w:rsid w:val="00A86970"/>
    <w:rsid w:val="00A90AFC"/>
    <w:rsid w:val="00A91613"/>
    <w:rsid w:val="00A92983"/>
    <w:rsid w:val="00A92E78"/>
    <w:rsid w:val="00A94262"/>
    <w:rsid w:val="00AA5061"/>
    <w:rsid w:val="00AA5B40"/>
    <w:rsid w:val="00AA7201"/>
    <w:rsid w:val="00AB4A60"/>
    <w:rsid w:val="00AC0E9E"/>
    <w:rsid w:val="00AD0918"/>
    <w:rsid w:val="00AD0E97"/>
    <w:rsid w:val="00AD1DCF"/>
    <w:rsid w:val="00AD3DF1"/>
    <w:rsid w:val="00AD59CF"/>
    <w:rsid w:val="00AD7BE5"/>
    <w:rsid w:val="00AE023F"/>
    <w:rsid w:val="00AE21B4"/>
    <w:rsid w:val="00AE382D"/>
    <w:rsid w:val="00AE4D74"/>
    <w:rsid w:val="00AE6F50"/>
    <w:rsid w:val="00AE7689"/>
    <w:rsid w:val="00AF628B"/>
    <w:rsid w:val="00AF782F"/>
    <w:rsid w:val="00AF79B6"/>
    <w:rsid w:val="00B03A1A"/>
    <w:rsid w:val="00B11083"/>
    <w:rsid w:val="00B12511"/>
    <w:rsid w:val="00B13A47"/>
    <w:rsid w:val="00B1432B"/>
    <w:rsid w:val="00B14A6D"/>
    <w:rsid w:val="00B205D0"/>
    <w:rsid w:val="00B21BB7"/>
    <w:rsid w:val="00B25EA9"/>
    <w:rsid w:val="00B27C02"/>
    <w:rsid w:val="00B42012"/>
    <w:rsid w:val="00B46C11"/>
    <w:rsid w:val="00B50692"/>
    <w:rsid w:val="00B519A9"/>
    <w:rsid w:val="00B539DF"/>
    <w:rsid w:val="00B55350"/>
    <w:rsid w:val="00B576F7"/>
    <w:rsid w:val="00B6023C"/>
    <w:rsid w:val="00B61AA9"/>
    <w:rsid w:val="00B671E5"/>
    <w:rsid w:val="00B70534"/>
    <w:rsid w:val="00B7225F"/>
    <w:rsid w:val="00B748C9"/>
    <w:rsid w:val="00B76E47"/>
    <w:rsid w:val="00B80328"/>
    <w:rsid w:val="00B8333D"/>
    <w:rsid w:val="00B8420D"/>
    <w:rsid w:val="00B84F4F"/>
    <w:rsid w:val="00B86C1A"/>
    <w:rsid w:val="00B90395"/>
    <w:rsid w:val="00B91A5A"/>
    <w:rsid w:val="00B943B0"/>
    <w:rsid w:val="00B96A69"/>
    <w:rsid w:val="00B97B3E"/>
    <w:rsid w:val="00BA0077"/>
    <w:rsid w:val="00BA01E2"/>
    <w:rsid w:val="00BA2109"/>
    <w:rsid w:val="00BA3172"/>
    <w:rsid w:val="00BA53A9"/>
    <w:rsid w:val="00BA5DF8"/>
    <w:rsid w:val="00BB7509"/>
    <w:rsid w:val="00BC2565"/>
    <w:rsid w:val="00BC430F"/>
    <w:rsid w:val="00BC439E"/>
    <w:rsid w:val="00BC6504"/>
    <w:rsid w:val="00BD5139"/>
    <w:rsid w:val="00BD742C"/>
    <w:rsid w:val="00BE0EE4"/>
    <w:rsid w:val="00BF1C46"/>
    <w:rsid w:val="00C03359"/>
    <w:rsid w:val="00C11DBF"/>
    <w:rsid w:val="00C1269B"/>
    <w:rsid w:val="00C13784"/>
    <w:rsid w:val="00C14386"/>
    <w:rsid w:val="00C16A2D"/>
    <w:rsid w:val="00C16AF3"/>
    <w:rsid w:val="00C21D3C"/>
    <w:rsid w:val="00C2269F"/>
    <w:rsid w:val="00C23CD2"/>
    <w:rsid w:val="00C26311"/>
    <w:rsid w:val="00C37F8D"/>
    <w:rsid w:val="00C41C13"/>
    <w:rsid w:val="00C52506"/>
    <w:rsid w:val="00C52FCF"/>
    <w:rsid w:val="00C60FFD"/>
    <w:rsid w:val="00C634AF"/>
    <w:rsid w:val="00C70995"/>
    <w:rsid w:val="00C849EC"/>
    <w:rsid w:val="00C91E0B"/>
    <w:rsid w:val="00C93122"/>
    <w:rsid w:val="00C95444"/>
    <w:rsid w:val="00C96B30"/>
    <w:rsid w:val="00CA3D35"/>
    <w:rsid w:val="00CA7AEA"/>
    <w:rsid w:val="00CB7EEC"/>
    <w:rsid w:val="00CC5F4E"/>
    <w:rsid w:val="00CC7D0D"/>
    <w:rsid w:val="00CD0EFA"/>
    <w:rsid w:val="00CD1214"/>
    <w:rsid w:val="00CD60B4"/>
    <w:rsid w:val="00CE12BE"/>
    <w:rsid w:val="00CE192F"/>
    <w:rsid w:val="00CE2985"/>
    <w:rsid w:val="00CF564C"/>
    <w:rsid w:val="00CF636D"/>
    <w:rsid w:val="00CF714A"/>
    <w:rsid w:val="00D17F4C"/>
    <w:rsid w:val="00D213DE"/>
    <w:rsid w:val="00D229DD"/>
    <w:rsid w:val="00D22D12"/>
    <w:rsid w:val="00D278FA"/>
    <w:rsid w:val="00D31423"/>
    <w:rsid w:val="00D328C5"/>
    <w:rsid w:val="00D34ED7"/>
    <w:rsid w:val="00D360D6"/>
    <w:rsid w:val="00D4474B"/>
    <w:rsid w:val="00D448CF"/>
    <w:rsid w:val="00D472F9"/>
    <w:rsid w:val="00D5096E"/>
    <w:rsid w:val="00D51742"/>
    <w:rsid w:val="00D54C5D"/>
    <w:rsid w:val="00D60DF5"/>
    <w:rsid w:val="00D61AD0"/>
    <w:rsid w:val="00D62715"/>
    <w:rsid w:val="00D632E8"/>
    <w:rsid w:val="00D65899"/>
    <w:rsid w:val="00D65B44"/>
    <w:rsid w:val="00D72B1B"/>
    <w:rsid w:val="00D77006"/>
    <w:rsid w:val="00D822F4"/>
    <w:rsid w:val="00D87C27"/>
    <w:rsid w:val="00D93C57"/>
    <w:rsid w:val="00D979D8"/>
    <w:rsid w:val="00DA3661"/>
    <w:rsid w:val="00DA39E2"/>
    <w:rsid w:val="00DA7CF1"/>
    <w:rsid w:val="00DB0FC1"/>
    <w:rsid w:val="00DB2886"/>
    <w:rsid w:val="00DB64FD"/>
    <w:rsid w:val="00DC073A"/>
    <w:rsid w:val="00DC0D8F"/>
    <w:rsid w:val="00DC6921"/>
    <w:rsid w:val="00DD500C"/>
    <w:rsid w:val="00DD69FA"/>
    <w:rsid w:val="00DD6EE5"/>
    <w:rsid w:val="00DD75B4"/>
    <w:rsid w:val="00DE1A26"/>
    <w:rsid w:val="00DE7B1D"/>
    <w:rsid w:val="00DE7EB3"/>
    <w:rsid w:val="00DF255F"/>
    <w:rsid w:val="00DF7716"/>
    <w:rsid w:val="00E14BC1"/>
    <w:rsid w:val="00E14E49"/>
    <w:rsid w:val="00E17183"/>
    <w:rsid w:val="00E17FA9"/>
    <w:rsid w:val="00E22755"/>
    <w:rsid w:val="00E274C7"/>
    <w:rsid w:val="00E2799D"/>
    <w:rsid w:val="00E334F0"/>
    <w:rsid w:val="00E3477C"/>
    <w:rsid w:val="00E44104"/>
    <w:rsid w:val="00E458BB"/>
    <w:rsid w:val="00E47571"/>
    <w:rsid w:val="00E476D1"/>
    <w:rsid w:val="00E54B23"/>
    <w:rsid w:val="00E66A76"/>
    <w:rsid w:val="00E713F0"/>
    <w:rsid w:val="00E71FBC"/>
    <w:rsid w:val="00E77CB0"/>
    <w:rsid w:val="00E8354D"/>
    <w:rsid w:val="00E83ABA"/>
    <w:rsid w:val="00E84349"/>
    <w:rsid w:val="00E87632"/>
    <w:rsid w:val="00EA13D4"/>
    <w:rsid w:val="00EA5991"/>
    <w:rsid w:val="00EA7C8D"/>
    <w:rsid w:val="00EB0967"/>
    <w:rsid w:val="00EB0C62"/>
    <w:rsid w:val="00EB18FF"/>
    <w:rsid w:val="00EB5BFF"/>
    <w:rsid w:val="00EC015F"/>
    <w:rsid w:val="00EC65C7"/>
    <w:rsid w:val="00EC6E79"/>
    <w:rsid w:val="00ED17DF"/>
    <w:rsid w:val="00ED38C7"/>
    <w:rsid w:val="00ED763C"/>
    <w:rsid w:val="00F071FC"/>
    <w:rsid w:val="00F133E5"/>
    <w:rsid w:val="00F1592D"/>
    <w:rsid w:val="00F1753F"/>
    <w:rsid w:val="00F17D7F"/>
    <w:rsid w:val="00F20F2D"/>
    <w:rsid w:val="00F2283F"/>
    <w:rsid w:val="00F22B38"/>
    <w:rsid w:val="00F24DCA"/>
    <w:rsid w:val="00F272FD"/>
    <w:rsid w:val="00F43690"/>
    <w:rsid w:val="00F439FB"/>
    <w:rsid w:val="00F501E6"/>
    <w:rsid w:val="00F51D82"/>
    <w:rsid w:val="00F54800"/>
    <w:rsid w:val="00F54DBB"/>
    <w:rsid w:val="00F5634F"/>
    <w:rsid w:val="00F56D6A"/>
    <w:rsid w:val="00F60457"/>
    <w:rsid w:val="00F62075"/>
    <w:rsid w:val="00F64764"/>
    <w:rsid w:val="00F64E34"/>
    <w:rsid w:val="00F6527C"/>
    <w:rsid w:val="00F665CD"/>
    <w:rsid w:val="00F66B0B"/>
    <w:rsid w:val="00F67135"/>
    <w:rsid w:val="00F70178"/>
    <w:rsid w:val="00F80D04"/>
    <w:rsid w:val="00F82DD3"/>
    <w:rsid w:val="00F838B1"/>
    <w:rsid w:val="00F97DF2"/>
    <w:rsid w:val="00FA3CBC"/>
    <w:rsid w:val="00FA557F"/>
    <w:rsid w:val="00FA5660"/>
    <w:rsid w:val="00FA5E52"/>
    <w:rsid w:val="00FB0DAA"/>
    <w:rsid w:val="00FC0598"/>
    <w:rsid w:val="00FC61DE"/>
    <w:rsid w:val="00FD1952"/>
    <w:rsid w:val="00FD5BBF"/>
    <w:rsid w:val="00FD5FD2"/>
    <w:rsid w:val="00FD686C"/>
    <w:rsid w:val="00FE3C1A"/>
    <w:rsid w:val="00FF6219"/>
    <w:rsid w:val="010E073D"/>
    <w:rsid w:val="012313A8"/>
    <w:rsid w:val="012A4E2C"/>
    <w:rsid w:val="014D0B1B"/>
    <w:rsid w:val="01626374"/>
    <w:rsid w:val="01F40F97"/>
    <w:rsid w:val="022A6766"/>
    <w:rsid w:val="02396594"/>
    <w:rsid w:val="0247556A"/>
    <w:rsid w:val="029D33DC"/>
    <w:rsid w:val="029F6796"/>
    <w:rsid w:val="02D8241D"/>
    <w:rsid w:val="02E20A60"/>
    <w:rsid w:val="033F34FA"/>
    <w:rsid w:val="034336B8"/>
    <w:rsid w:val="034A70C0"/>
    <w:rsid w:val="037E3C0D"/>
    <w:rsid w:val="03920A67"/>
    <w:rsid w:val="03EE3EEF"/>
    <w:rsid w:val="042711AF"/>
    <w:rsid w:val="042F62B6"/>
    <w:rsid w:val="0440095F"/>
    <w:rsid w:val="045B4EA6"/>
    <w:rsid w:val="04695415"/>
    <w:rsid w:val="04B05649"/>
    <w:rsid w:val="05272D07"/>
    <w:rsid w:val="058C4053"/>
    <w:rsid w:val="05C96DAF"/>
    <w:rsid w:val="05CF7B72"/>
    <w:rsid w:val="0639166E"/>
    <w:rsid w:val="064A387B"/>
    <w:rsid w:val="064B2778"/>
    <w:rsid w:val="0673610D"/>
    <w:rsid w:val="06AB60C8"/>
    <w:rsid w:val="06D849E3"/>
    <w:rsid w:val="06E25862"/>
    <w:rsid w:val="06EC0622"/>
    <w:rsid w:val="073C7668"/>
    <w:rsid w:val="073F2CB4"/>
    <w:rsid w:val="074D717F"/>
    <w:rsid w:val="078801B7"/>
    <w:rsid w:val="07950B26"/>
    <w:rsid w:val="079528D4"/>
    <w:rsid w:val="07A22426"/>
    <w:rsid w:val="07F615C4"/>
    <w:rsid w:val="087D5842"/>
    <w:rsid w:val="08A90D2D"/>
    <w:rsid w:val="08D50B56"/>
    <w:rsid w:val="092E1232"/>
    <w:rsid w:val="095962AF"/>
    <w:rsid w:val="0975119A"/>
    <w:rsid w:val="0A0B50CF"/>
    <w:rsid w:val="0A173A74"/>
    <w:rsid w:val="0A4A5BF8"/>
    <w:rsid w:val="0A6F565E"/>
    <w:rsid w:val="0ABB6AF5"/>
    <w:rsid w:val="0B223260"/>
    <w:rsid w:val="0BA63302"/>
    <w:rsid w:val="0BB21CA6"/>
    <w:rsid w:val="0BB84DE3"/>
    <w:rsid w:val="0BF05273"/>
    <w:rsid w:val="0C0149DC"/>
    <w:rsid w:val="0C937D2A"/>
    <w:rsid w:val="0C9D2956"/>
    <w:rsid w:val="0CDC1DD0"/>
    <w:rsid w:val="0CEC11E8"/>
    <w:rsid w:val="0D815DD4"/>
    <w:rsid w:val="0DAE2941"/>
    <w:rsid w:val="0DD028B8"/>
    <w:rsid w:val="0E2663BB"/>
    <w:rsid w:val="0E356BBF"/>
    <w:rsid w:val="0E4D3F08"/>
    <w:rsid w:val="0E511C4A"/>
    <w:rsid w:val="0EFE7638"/>
    <w:rsid w:val="0FA579EC"/>
    <w:rsid w:val="0FA67D74"/>
    <w:rsid w:val="0FCA50A9"/>
    <w:rsid w:val="0FD06B9F"/>
    <w:rsid w:val="0FF27AFB"/>
    <w:rsid w:val="1010343F"/>
    <w:rsid w:val="10797237"/>
    <w:rsid w:val="10C55FD8"/>
    <w:rsid w:val="10E50428"/>
    <w:rsid w:val="116A6B7F"/>
    <w:rsid w:val="116D7942"/>
    <w:rsid w:val="11731ED8"/>
    <w:rsid w:val="11BA4977"/>
    <w:rsid w:val="11C42C96"/>
    <w:rsid w:val="12072620"/>
    <w:rsid w:val="129225D0"/>
    <w:rsid w:val="129245E0"/>
    <w:rsid w:val="12F6691D"/>
    <w:rsid w:val="13541895"/>
    <w:rsid w:val="135751C6"/>
    <w:rsid w:val="138959E3"/>
    <w:rsid w:val="13BB276D"/>
    <w:rsid w:val="13CC1D73"/>
    <w:rsid w:val="1424395D"/>
    <w:rsid w:val="14447B5C"/>
    <w:rsid w:val="144E09DA"/>
    <w:rsid w:val="146C4E09"/>
    <w:rsid w:val="14A30D26"/>
    <w:rsid w:val="14B00D4D"/>
    <w:rsid w:val="14C12F5A"/>
    <w:rsid w:val="14DB0A28"/>
    <w:rsid w:val="152466FE"/>
    <w:rsid w:val="153951E6"/>
    <w:rsid w:val="15604521"/>
    <w:rsid w:val="1565422D"/>
    <w:rsid w:val="15E76B77"/>
    <w:rsid w:val="15ED7D79"/>
    <w:rsid w:val="15FA6724"/>
    <w:rsid w:val="15FB61F2"/>
    <w:rsid w:val="16117F11"/>
    <w:rsid w:val="164107F7"/>
    <w:rsid w:val="16737500"/>
    <w:rsid w:val="168D57EA"/>
    <w:rsid w:val="168D7598"/>
    <w:rsid w:val="16D03928"/>
    <w:rsid w:val="16D056D6"/>
    <w:rsid w:val="1798116C"/>
    <w:rsid w:val="18025D64"/>
    <w:rsid w:val="182E5751"/>
    <w:rsid w:val="185B788A"/>
    <w:rsid w:val="18713E3A"/>
    <w:rsid w:val="18DA68F2"/>
    <w:rsid w:val="18ED07C2"/>
    <w:rsid w:val="19D379B8"/>
    <w:rsid w:val="19DD0836"/>
    <w:rsid w:val="1A2A3350"/>
    <w:rsid w:val="1A366198"/>
    <w:rsid w:val="1A734CF7"/>
    <w:rsid w:val="1A846F04"/>
    <w:rsid w:val="1AA90718"/>
    <w:rsid w:val="1AC5198F"/>
    <w:rsid w:val="1AC83294"/>
    <w:rsid w:val="1AEE0821"/>
    <w:rsid w:val="1B300E3A"/>
    <w:rsid w:val="1BCA13F8"/>
    <w:rsid w:val="1BF105C9"/>
    <w:rsid w:val="1C114BDF"/>
    <w:rsid w:val="1C2E195D"/>
    <w:rsid w:val="1C3109C5"/>
    <w:rsid w:val="1C3861F8"/>
    <w:rsid w:val="1C395ACC"/>
    <w:rsid w:val="1C4E77C9"/>
    <w:rsid w:val="1C520816"/>
    <w:rsid w:val="1CB069C9"/>
    <w:rsid w:val="1CD40705"/>
    <w:rsid w:val="1CE84F64"/>
    <w:rsid w:val="1CEE68B6"/>
    <w:rsid w:val="1D0E0D07"/>
    <w:rsid w:val="1DED6B6E"/>
    <w:rsid w:val="1DFC02BA"/>
    <w:rsid w:val="1E0B5246"/>
    <w:rsid w:val="1E4C1B55"/>
    <w:rsid w:val="1E58492F"/>
    <w:rsid w:val="1E6A6411"/>
    <w:rsid w:val="1EA2204E"/>
    <w:rsid w:val="1EB1064A"/>
    <w:rsid w:val="1EC252ED"/>
    <w:rsid w:val="1ED66F4F"/>
    <w:rsid w:val="1EDB2E6A"/>
    <w:rsid w:val="1EF33837"/>
    <w:rsid w:val="1EFF4DAB"/>
    <w:rsid w:val="1F02489B"/>
    <w:rsid w:val="1F0B01A4"/>
    <w:rsid w:val="1F1E1E98"/>
    <w:rsid w:val="1F3233D2"/>
    <w:rsid w:val="1F395CCE"/>
    <w:rsid w:val="1F4924CA"/>
    <w:rsid w:val="1F550E6F"/>
    <w:rsid w:val="1F6115C2"/>
    <w:rsid w:val="1F7C289F"/>
    <w:rsid w:val="1F90634B"/>
    <w:rsid w:val="1FB274D1"/>
    <w:rsid w:val="1FBF278C"/>
    <w:rsid w:val="200308CB"/>
    <w:rsid w:val="20140D2A"/>
    <w:rsid w:val="20254CE5"/>
    <w:rsid w:val="20256A93"/>
    <w:rsid w:val="204C4020"/>
    <w:rsid w:val="204D1B46"/>
    <w:rsid w:val="20607ACB"/>
    <w:rsid w:val="207D1ECC"/>
    <w:rsid w:val="20A774A8"/>
    <w:rsid w:val="20CA763A"/>
    <w:rsid w:val="20CE082F"/>
    <w:rsid w:val="20D12947"/>
    <w:rsid w:val="21156B08"/>
    <w:rsid w:val="21E64000"/>
    <w:rsid w:val="22177AF6"/>
    <w:rsid w:val="22463FC5"/>
    <w:rsid w:val="22804455"/>
    <w:rsid w:val="22DB483E"/>
    <w:rsid w:val="22DD30F4"/>
    <w:rsid w:val="22ED70D1"/>
    <w:rsid w:val="230E380E"/>
    <w:rsid w:val="23313B4B"/>
    <w:rsid w:val="233D40F4"/>
    <w:rsid w:val="23457164"/>
    <w:rsid w:val="2346744C"/>
    <w:rsid w:val="2470166E"/>
    <w:rsid w:val="24724271"/>
    <w:rsid w:val="24741D97"/>
    <w:rsid w:val="24B71C84"/>
    <w:rsid w:val="24CC3981"/>
    <w:rsid w:val="254259F1"/>
    <w:rsid w:val="255B6AB3"/>
    <w:rsid w:val="256E4A38"/>
    <w:rsid w:val="25DA7F8C"/>
    <w:rsid w:val="25F52A64"/>
    <w:rsid w:val="2661459D"/>
    <w:rsid w:val="26635033"/>
    <w:rsid w:val="26BB11CB"/>
    <w:rsid w:val="26CF59AB"/>
    <w:rsid w:val="26E03714"/>
    <w:rsid w:val="27165388"/>
    <w:rsid w:val="272A2BE1"/>
    <w:rsid w:val="27710810"/>
    <w:rsid w:val="279938C3"/>
    <w:rsid w:val="27B64475"/>
    <w:rsid w:val="27B84691"/>
    <w:rsid w:val="27CC5C9E"/>
    <w:rsid w:val="28093773"/>
    <w:rsid w:val="284C0876"/>
    <w:rsid w:val="28665E8E"/>
    <w:rsid w:val="28AB7D51"/>
    <w:rsid w:val="28D21782"/>
    <w:rsid w:val="290C6A42"/>
    <w:rsid w:val="29183639"/>
    <w:rsid w:val="299C3663"/>
    <w:rsid w:val="29C76E0D"/>
    <w:rsid w:val="29F413F4"/>
    <w:rsid w:val="2A092F82"/>
    <w:rsid w:val="2A1F27A5"/>
    <w:rsid w:val="2A2B2EF8"/>
    <w:rsid w:val="2A6428AE"/>
    <w:rsid w:val="2AD57308"/>
    <w:rsid w:val="2B363614"/>
    <w:rsid w:val="2B465B0F"/>
    <w:rsid w:val="2B905794"/>
    <w:rsid w:val="2B9D6077"/>
    <w:rsid w:val="2BDD46C6"/>
    <w:rsid w:val="2C1A1476"/>
    <w:rsid w:val="2C2F6244"/>
    <w:rsid w:val="2C66739B"/>
    <w:rsid w:val="2C931228"/>
    <w:rsid w:val="2CCF4BE1"/>
    <w:rsid w:val="2D095047"/>
    <w:rsid w:val="2D7E77E3"/>
    <w:rsid w:val="2DEA4934"/>
    <w:rsid w:val="2E0D2472"/>
    <w:rsid w:val="2E9D013C"/>
    <w:rsid w:val="2EC21951"/>
    <w:rsid w:val="2EC27BA3"/>
    <w:rsid w:val="2EDC2A13"/>
    <w:rsid w:val="2EE8585B"/>
    <w:rsid w:val="2F463D72"/>
    <w:rsid w:val="2F794705"/>
    <w:rsid w:val="2FCF0222"/>
    <w:rsid w:val="3011493E"/>
    <w:rsid w:val="301D32E3"/>
    <w:rsid w:val="308D4B48"/>
    <w:rsid w:val="3095556F"/>
    <w:rsid w:val="30A6152A"/>
    <w:rsid w:val="30D616E4"/>
    <w:rsid w:val="30EF51FF"/>
    <w:rsid w:val="310821E5"/>
    <w:rsid w:val="310E6CF7"/>
    <w:rsid w:val="312B1A2F"/>
    <w:rsid w:val="319B57C1"/>
    <w:rsid w:val="31BB41FA"/>
    <w:rsid w:val="31BF66BF"/>
    <w:rsid w:val="31F938DC"/>
    <w:rsid w:val="32036508"/>
    <w:rsid w:val="321116CA"/>
    <w:rsid w:val="321D581C"/>
    <w:rsid w:val="32383241"/>
    <w:rsid w:val="3292275F"/>
    <w:rsid w:val="32B67A1F"/>
    <w:rsid w:val="333252F7"/>
    <w:rsid w:val="333504B0"/>
    <w:rsid w:val="33C63C91"/>
    <w:rsid w:val="33C830E3"/>
    <w:rsid w:val="33CB74FA"/>
    <w:rsid w:val="33EA5BD2"/>
    <w:rsid w:val="33EE0B4D"/>
    <w:rsid w:val="341E1D1F"/>
    <w:rsid w:val="34533777"/>
    <w:rsid w:val="34655258"/>
    <w:rsid w:val="34796F56"/>
    <w:rsid w:val="34C74165"/>
    <w:rsid w:val="34CB5A03"/>
    <w:rsid w:val="35400759"/>
    <w:rsid w:val="35743674"/>
    <w:rsid w:val="35815D90"/>
    <w:rsid w:val="35947605"/>
    <w:rsid w:val="35D42696"/>
    <w:rsid w:val="36513CE6"/>
    <w:rsid w:val="36575075"/>
    <w:rsid w:val="365C4B31"/>
    <w:rsid w:val="36F111E4"/>
    <w:rsid w:val="36F53241"/>
    <w:rsid w:val="373F6235"/>
    <w:rsid w:val="374A73EC"/>
    <w:rsid w:val="3756532C"/>
    <w:rsid w:val="376C68FE"/>
    <w:rsid w:val="380B41B7"/>
    <w:rsid w:val="381256F7"/>
    <w:rsid w:val="38397128"/>
    <w:rsid w:val="385F417F"/>
    <w:rsid w:val="387D7A0D"/>
    <w:rsid w:val="38855EC9"/>
    <w:rsid w:val="388A1731"/>
    <w:rsid w:val="38A26A7B"/>
    <w:rsid w:val="38C369F1"/>
    <w:rsid w:val="38F24C93"/>
    <w:rsid w:val="39451A9D"/>
    <w:rsid w:val="398A751B"/>
    <w:rsid w:val="399A3BF6"/>
    <w:rsid w:val="399F2FBB"/>
    <w:rsid w:val="39C66799"/>
    <w:rsid w:val="39C742BF"/>
    <w:rsid w:val="39E82BB3"/>
    <w:rsid w:val="3A8111D1"/>
    <w:rsid w:val="3A887EF3"/>
    <w:rsid w:val="3AB46F3A"/>
    <w:rsid w:val="3AEC7E48"/>
    <w:rsid w:val="3B0F5F1E"/>
    <w:rsid w:val="3B273268"/>
    <w:rsid w:val="3B2C4D22"/>
    <w:rsid w:val="3B302D4D"/>
    <w:rsid w:val="3B396C26"/>
    <w:rsid w:val="3B545BAC"/>
    <w:rsid w:val="3B7A783B"/>
    <w:rsid w:val="3BB645EB"/>
    <w:rsid w:val="3BBF5B96"/>
    <w:rsid w:val="3BC65B26"/>
    <w:rsid w:val="3BCC2061"/>
    <w:rsid w:val="3BD2610A"/>
    <w:rsid w:val="3BE23E1E"/>
    <w:rsid w:val="3C667DC0"/>
    <w:rsid w:val="3C746980"/>
    <w:rsid w:val="3CC0001F"/>
    <w:rsid w:val="3CD13DD3"/>
    <w:rsid w:val="3CDC4526"/>
    <w:rsid w:val="3CE709C0"/>
    <w:rsid w:val="3CEC29BB"/>
    <w:rsid w:val="3D027F8B"/>
    <w:rsid w:val="3D031AB2"/>
    <w:rsid w:val="3D624A2B"/>
    <w:rsid w:val="3D7D3613"/>
    <w:rsid w:val="3DD84CED"/>
    <w:rsid w:val="3DDC313A"/>
    <w:rsid w:val="3E8804C1"/>
    <w:rsid w:val="3EA3354D"/>
    <w:rsid w:val="3EA6303D"/>
    <w:rsid w:val="3EC60FE9"/>
    <w:rsid w:val="3F1E4982"/>
    <w:rsid w:val="40280651"/>
    <w:rsid w:val="404A3798"/>
    <w:rsid w:val="405C7E57"/>
    <w:rsid w:val="40640ABA"/>
    <w:rsid w:val="409809CC"/>
    <w:rsid w:val="40BF2194"/>
    <w:rsid w:val="40EF2A79"/>
    <w:rsid w:val="40F005A0"/>
    <w:rsid w:val="40FD357A"/>
    <w:rsid w:val="41314E40"/>
    <w:rsid w:val="413A4432"/>
    <w:rsid w:val="4153021D"/>
    <w:rsid w:val="416F7716"/>
    <w:rsid w:val="41E9396D"/>
    <w:rsid w:val="4242307D"/>
    <w:rsid w:val="42845443"/>
    <w:rsid w:val="428E4F75"/>
    <w:rsid w:val="42AB0B27"/>
    <w:rsid w:val="43010842"/>
    <w:rsid w:val="43235A6A"/>
    <w:rsid w:val="43284021"/>
    <w:rsid w:val="43374264"/>
    <w:rsid w:val="43487EAF"/>
    <w:rsid w:val="43602472"/>
    <w:rsid w:val="43A1277F"/>
    <w:rsid w:val="44586B88"/>
    <w:rsid w:val="44A973E3"/>
    <w:rsid w:val="44E95A32"/>
    <w:rsid w:val="45343151"/>
    <w:rsid w:val="45AA2CE8"/>
    <w:rsid w:val="45B10D47"/>
    <w:rsid w:val="45FB5A1D"/>
    <w:rsid w:val="4690085B"/>
    <w:rsid w:val="46FA5CD4"/>
    <w:rsid w:val="471F15EA"/>
    <w:rsid w:val="472745EF"/>
    <w:rsid w:val="4732178B"/>
    <w:rsid w:val="473619BF"/>
    <w:rsid w:val="475573AE"/>
    <w:rsid w:val="47797541"/>
    <w:rsid w:val="479954ED"/>
    <w:rsid w:val="479C6D8B"/>
    <w:rsid w:val="47AB4F65"/>
    <w:rsid w:val="47AD2D46"/>
    <w:rsid w:val="47B70069"/>
    <w:rsid w:val="47E04ECA"/>
    <w:rsid w:val="47EC7D13"/>
    <w:rsid w:val="48AC1250"/>
    <w:rsid w:val="48BB7B71"/>
    <w:rsid w:val="49CA021E"/>
    <w:rsid w:val="4A314103"/>
    <w:rsid w:val="4A495EF6"/>
    <w:rsid w:val="4A563B69"/>
    <w:rsid w:val="4A6F69D9"/>
    <w:rsid w:val="4AB0027C"/>
    <w:rsid w:val="4AEE78FE"/>
    <w:rsid w:val="4AF352DF"/>
    <w:rsid w:val="4B2B2900"/>
    <w:rsid w:val="4B451715"/>
    <w:rsid w:val="4B533C05"/>
    <w:rsid w:val="4B6E0A3F"/>
    <w:rsid w:val="4B8B339F"/>
    <w:rsid w:val="4B920F6B"/>
    <w:rsid w:val="4BBE3774"/>
    <w:rsid w:val="4BC52D55"/>
    <w:rsid w:val="4C194E4E"/>
    <w:rsid w:val="4C290B69"/>
    <w:rsid w:val="4C433C79"/>
    <w:rsid w:val="4CE203D0"/>
    <w:rsid w:val="4CE216E4"/>
    <w:rsid w:val="4CFD02CC"/>
    <w:rsid w:val="4D6A1C3E"/>
    <w:rsid w:val="4D9F1383"/>
    <w:rsid w:val="4DA30E74"/>
    <w:rsid w:val="4E4B5067"/>
    <w:rsid w:val="4E704ACE"/>
    <w:rsid w:val="4EA76741"/>
    <w:rsid w:val="4EBB043F"/>
    <w:rsid w:val="4ED21B41"/>
    <w:rsid w:val="4F2E13B1"/>
    <w:rsid w:val="4F675E6D"/>
    <w:rsid w:val="4FAD5FDA"/>
    <w:rsid w:val="4FE33E27"/>
    <w:rsid w:val="4FEB6B02"/>
    <w:rsid w:val="4FFD48D4"/>
    <w:rsid w:val="50B6578B"/>
    <w:rsid w:val="5116195C"/>
    <w:rsid w:val="511D0F3D"/>
    <w:rsid w:val="512C5624"/>
    <w:rsid w:val="518E5997"/>
    <w:rsid w:val="519D207E"/>
    <w:rsid w:val="51A0391C"/>
    <w:rsid w:val="51B178D7"/>
    <w:rsid w:val="51F304EB"/>
    <w:rsid w:val="51FB0B52"/>
    <w:rsid w:val="52923265"/>
    <w:rsid w:val="52C17901"/>
    <w:rsid w:val="52E837CD"/>
    <w:rsid w:val="52EA4E4F"/>
    <w:rsid w:val="52EF4B5B"/>
    <w:rsid w:val="532C36B9"/>
    <w:rsid w:val="535F53CF"/>
    <w:rsid w:val="53990623"/>
    <w:rsid w:val="53BB67EB"/>
    <w:rsid w:val="53DD37A4"/>
    <w:rsid w:val="53E06252"/>
    <w:rsid w:val="53F101B8"/>
    <w:rsid w:val="53FC752F"/>
    <w:rsid w:val="542B1BC3"/>
    <w:rsid w:val="542B3971"/>
    <w:rsid w:val="542E5CAF"/>
    <w:rsid w:val="547217A0"/>
    <w:rsid w:val="54907C78"/>
    <w:rsid w:val="54AD4386"/>
    <w:rsid w:val="54B41BB8"/>
    <w:rsid w:val="54CC0273"/>
    <w:rsid w:val="54DC4C6B"/>
    <w:rsid w:val="553D1BAE"/>
    <w:rsid w:val="55527275"/>
    <w:rsid w:val="556C5FEF"/>
    <w:rsid w:val="557412E9"/>
    <w:rsid w:val="557B298D"/>
    <w:rsid w:val="5598537D"/>
    <w:rsid w:val="559B0682"/>
    <w:rsid w:val="55F64DFB"/>
    <w:rsid w:val="55FF6C70"/>
    <w:rsid w:val="561623FF"/>
    <w:rsid w:val="563332FB"/>
    <w:rsid w:val="565C42B5"/>
    <w:rsid w:val="5671155E"/>
    <w:rsid w:val="5697709C"/>
    <w:rsid w:val="56B85264"/>
    <w:rsid w:val="56B9366E"/>
    <w:rsid w:val="570010E5"/>
    <w:rsid w:val="57CE2F91"/>
    <w:rsid w:val="58A03C35"/>
    <w:rsid w:val="58D36385"/>
    <w:rsid w:val="59101387"/>
    <w:rsid w:val="5966544B"/>
    <w:rsid w:val="596D069C"/>
    <w:rsid w:val="597B2CA5"/>
    <w:rsid w:val="59C26B25"/>
    <w:rsid w:val="59EA5096"/>
    <w:rsid w:val="59FB5B93"/>
    <w:rsid w:val="5A5A2CD2"/>
    <w:rsid w:val="5A625C12"/>
    <w:rsid w:val="5A7476F4"/>
    <w:rsid w:val="5A820063"/>
    <w:rsid w:val="5AAC50E0"/>
    <w:rsid w:val="5ABD7E45"/>
    <w:rsid w:val="5AC532E5"/>
    <w:rsid w:val="5AD8582D"/>
    <w:rsid w:val="5AF947C9"/>
    <w:rsid w:val="5B0E7B48"/>
    <w:rsid w:val="5B5D5A66"/>
    <w:rsid w:val="5B6360E6"/>
    <w:rsid w:val="5B6A2FD1"/>
    <w:rsid w:val="5B7C71A8"/>
    <w:rsid w:val="5B9B338D"/>
    <w:rsid w:val="5BA6303B"/>
    <w:rsid w:val="5BB54596"/>
    <w:rsid w:val="5BDB5C7C"/>
    <w:rsid w:val="5BE508A9"/>
    <w:rsid w:val="5C1D6295"/>
    <w:rsid w:val="5C5B767E"/>
    <w:rsid w:val="5C89392A"/>
    <w:rsid w:val="5CF74D38"/>
    <w:rsid w:val="5D355860"/>
    <w:rsid w:val="5D550870"/>
    <w:rsid w:val="5D691DD4"/>
    <w:rsid w:val="5D753EAF"/>
    <w:rsid w:val="5D875E4F"/>
    <w:rsid w:val="5D9F2CDA"/>
    <w:rsid w:val="5DB06C95"/>
    <w:rsid w:val="5DD670C8"/>
    <w:rsid w:val="5E3B6EA6"/>
    <w:rsid w:val="5E473A9D"/>
    <w:rsid w:val="5E655CD1"/>
    <w:rsid w:val="5E7634E1"/>
    <w:rsid w:val="5EB427B5"/>
    <w:rsid w:val="5EC62C14"/>
    <w:rsid w:val="5ED846F5"/>
    <w:rsid w:val="5F327CC4"/>
    <w:rsid w:val="5F8255AE"/>
    <w:rsid w:val="600B28A8"/>
    <w:rsid w:val="604A4FB8"/>
    <w:rsid w:val="60BD0047"/>
    <w:rsid w:val="60E23609"/>
    <w:rsid w:val="6110461A"/>
    <w:rsid w:val="61480596"/>
    <w:rsid w:val="614866CA"/>
    <w:rsid w:val="615838CB"/>
    <w:rsid w:val="61616C24"/>
    <w:rsid w:val="61AF3E33"/>
    <w:rsid w:val="61C15914"/>
    <w:rsid w:val="61D75A83"/>
    <w:rsid w:val="62546789"/>
    <w:rsid w:val="62B2525D"/>
    <w:rsid w:val="63253BB8"/>
    <w:rsid w:val="635F53E5"/>
    <w:rsid w:val="63AE1EC8"/>
    <w:rsid w:val="63B35731"/>
    <w:rsid w:val="645A69E3"/>
    <w:rsid w:val="6477050C"/>
    <w:rsid w:val="64A90948"/>
    <w:rsid w:val="65076700"/>
    <w:rsid w:val="651450B4"/>
    <w:rsid w:val="657A02B4"/>
    <w:rsid w:val="65873264"/>
    <w:rsid w:val="65BF660F"/>
    <w:rsid w:val="65D06126"/>
    <w:rsid w:val="65E816C2"/>
    <w:rsid w:val="65EA2EBA"/>
    <w:rsid w:val="66037055"/>
    <w:rsid w:val="66284A3F"/>
    <w:rsid w:val="66314B61"/>
    <w:rsid w:val="66666A8A"/>
    <w:rsid w:val="666B40A1"/>
    <w:rsid w:val="6692162D"/>
    <w:rsid w:val="66CF2882"/>
    <w:rsid w:val="67095D94"/>
    <w:rsid w:val="67434FF9"/>
    <w:rsid w:val="67535201"/>
    <w:rsid w:val="67966EFB"/>
    <w:rsid w:val="67DB0DB2"/>
    <w:rsid w:val="681027B8"/>
    <w:rsid w:val="68330BEE"/>
    <w:rsid w:val="69390486"/>
    <w:rsid w:val="69C77840"/>
    <w:rsid w:val="6A4964A7"/>
    <w:rsid w:val="6A68186D"/>
    <w:rsid w:val="6A701C86"/>
    <w:rsid w:val="6A8A71EB"/>
    <w:rsid w:val="6B056872"/>
    <w:rsid w:val="6B451364"/>
    <w:rsid w:val="6B7632CC"/>
    <w:rsid w:val="6B8A321B"/>
    <w:rsid w:val="6BA4034C"/>
    <w:rsid w:val="6BB12556"/>
    <w:rsid w:val="6BBB5183"/>
    <w:rsid w:val="6BD36970"/>
    <w:rsid w:val="6C021003"/>
    <w:rsid w:val="6C125223"/>
    <w:rsid w:val="6C537AB1"/>
    <w:rsid w:val="6C783074"/>
    <w:rsid w:val="6C852EDD"/>
    <w:rsid w:val="6C924135"/>
    <w:rsid w:val="6CDE0E62"/>
    <w:rsid w:val="6CF0605F"/>
    <w:rsid w:val="6D1234C8"/>
    <w:rsid w:val="6D231231"/>
    <w:rsid w:val="6D5B4E6F"/>
    <w:rsid w:val="6DA71F8E"/>
    <w:rsid w:val="6DC87E48"/>
    <w:rsid w:val="6DFA4FC1"/>
    <w:rsid w:val="6E076DA5"/>
    <w:rsid w:val="6E153270"/>
    <w:rsid w:val="6E1F7C4B"/>
    <w:rsid w:val="6E5042A8"/>
    <w:rsid w:val="6E8421A4"/>
    <w:rsid w:val="6F1C23DC"/>
    <w:rsid w:val="6F481423"/>
    <w:rsid w:val="6F6411C6"/>
    <w:rsid w:val="6FB42615"/>
    <w:rsid w:val="6FCC795E"/>
    <w:rsid w:val="6FEC0000"/>
    <w:rsid w:val="70495453"/>
    <w:rsid w:val="707D7011"/>
    <w:rsid w:val="70FC3DE4"/>
    <w:rsid w:val="715E0792"/>
    <w:rsid w:val="71703EB3"/>
    <w:rsid w:val="71775FF0"/>
    <w:rsid w:val="718F3339"/>
    <w:rsid w:val="71A566B9"/>
    <w:rsid w:val="71D60F68"/>
    <w:rsid w:val="71EA0C04"/>
    <w:rsid w:val="71F238C8"/>
    <w:rsid w:val="721750DD"/>
    <w:rsid w:val="724D0AFE"/>
    <w:rsid w:val="72AB41A3"/>
    <w:rsid w:val="72B816F5"/>
    <w:rsid w:val="72D82ABE"/>
    <w:rsid w:val="7358775B"/>
    <w:rsid w:val="73661E78"/>
    <w:rsid w:val="73827B98"/>
    <w:rsid w:val="738D1AFA"/>
    <w:rsid w:val="73A62BBC"/>
    <w:rsid w:val="73DF4C25"/>
    <w:rsid w:val="73EC5F05"/>
    <w:rsid w:val="73FE6554"/>
    <w:rsid w:val="745B4E61"/>
    <w:rsid w:val="74884070"/>
    <w:rsid w:val="74C723AC"/>
    <w:rsid w:val="75120509"/>
    <w:rsid w:val="751C1388"/>
    <w:rsid w:val="752244C4"/>
    <w:rsid w:val="752D5343"/>
    <w:rsid w:val="756845CD"/>
    <w:rsid w:val="758E3908"/>
    <w:rsid w:val="75BA0A0C"/>
    <w:rsid w:val="75D92DD5"/>
    <w:rsid w:val="75D94B83"/>
    <w:rsid w:val="75F55735"/>
    <w:rsid w:val="75FE283B"/>
    <w:rsid w:val="760616F0"/>
    <w:rsid w:val="761E5267"/>
    <w:rsid w:val="76206C56"/>
    <w:rsid w:val="762E7763"/>
    <w:rsid w:val="766C3C49"/>
    <w:rsid w:val="76DD06A3"/>
    <w:rsid w:val="77933457"/>
    <w:rsid w:val="779E7BBF"/>
    <w:rsid w:val="77FA7B79"/>
    <w:rsid w:val="78212811"/>
    <w:rsid w:val="782567A5"/>
    <w:rsid w:val="782C160F"/>
    <w:rsid w:val="785250C1"/>
    <w:rsid w:val="78AD22F7"/>
    <w:rsid w:val="78BD078C"/>
    <w:rsid w:val="78D12489"/>
    <w:rsid w:val="79102FB2"/>
    <w:rsid w:val="79120DC0"/>
    <w:rsid w:val="791253B5"/>
    <w:rsid w:val="796C5D0E"/>
    <w:rsid w:val="7A495F11"/>
    <w:rsid w:val="7A7C6425"/>
    <w:rsid w:val="7A811C8D"/>
    <w:rsid w:val="7AA240DD"/>
    <w:rsid w:val="7AA50CF9"/>
    <w:rsid w:val="7AD41DBD"/>
    <w:rsid w:val="7B1D3764"/>
    <w:rsid w:val="7B543B37"/>
    <w:rsid w:val="7B9003DA"/>
    <w:rsid w:val="7BBC17D6"/>
    <w:rsid w:val="7C0B5CB2"/>
    <w:rsid w:val="7C596A1E"/>
    <w:rsid w:val="7C765821"/>
    <w:rsid w:val="7CA659DB"/>
    <w:rsid w:val="7CAC2D59"/>
    <w:rsid w:val="7CCC5441"/>
    <w:rsid w:val="7CCD4D16"/>
    <w:rsid w:val="7CDD764F"/>
    <w:rsid w:val="7D1717DF"/>
    <w:rsid w:val="7D657644"/>
    <w:rsid w:val="7D9F2B56"/>
    <w:rsid w:val="7E2B4E4E"/>
    <w:rsid w:val="7E421F1F"/>
    <w:rsid w:val="7E464D80"/>
    <w:rsid w:val="7E587052"/>
    <w:rsid w:val="7E5F5E41"/>
    <w:rsid w:val="7EA1645A"/>
    <w:rsid w:val="7ED44A81"/>
    <w:rsid w:val="7ED56104"/>
    <w:rsid w:val="7EF50554"/>
    <w:rsid w:val="7F080287"/>
    <w:rsid w:val="7F0F1615"/>
    <w:rsid w:val="7F3040A4"/>
    <w:rsid w:val="7F802513"/>
    <w:rsid w:val="7FDFB47F"/>
    <w:rsid w:val="7FE9455C"/>
    <w:rsid w:val="7FF931E7"/>
    <w:rsid w:val="8FFF02DF"/>
    <w:rsid w:val="AFFF6610"/>
    <w:rsid w:val="D5DFCBA1"/>
    <w:rsid w:val="DF01A2E2"/>
    <w:rsid w:val="EEF7272F"/>
    <w:rsid w:val="F7FB2AD0"/>
    <w:rsid w:val="FFFFAF21"/>
    <w:rsid w:val="FFFFC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before="25" w:beforeLines="25" w:after="25" w:afterLines="25" w:line="360" w:lineRule="auto"/>
      <w:jc w:val="both"/>
    </w:pPr>
    <w:rPr>
      <w:rFonts w:ascii="Times New Roman" w:hAnsi="Times New Roman" w:eastAsiaTheme="minorEastAsia" w:cstheme="minorBidi"/>
      <w:kern w:val="2"/>
      <w:sz w:val="24"/>
      <w:szCs w:val="22"/>
      <w:lang w:val="en-US" w:eastAsia="zh-CN" w:bidi="ar-SA"/>
    </w:rPr>
  </w:style>
  <w:style w:type="paragraph" w:styleId="2">
    <w:name w:val="heading 1"/>
    <w:basedOn w:val="1"/>
    <w:next w:val="1"/>
    <w:link w:val="36"/>
    <w:qFormat/>
    <w:uiPriority w:val="9"/>
    <w:pPr>
      <w:keepNext/>
      <w:keepLines/>
      <w:numPr>
        <w:ilvl w:val="0"/>
        <w:numId w:val="1"/>
      </w:numPr>
      <w:spacing w:before="100" w:beforeLines="100" w:after="50" w:afterLines="50" w:line="240" w:lineRule="auto"/>
      <w:outlineLvl w:val="0"/>
    </w:pPr>
    <w:rPr>
      <w:rFonts w:eastAsia="黑体"/>
      <w:b/>
      <w:bCs/>
      <w:kern w:val="44"/>
      <w:sz w:val="32"/>
      <w:szCs w:val="44"/>
    </w:rPr>
  </w:style>
  <w:style w:type="paragraph" w:styleId="3">
    <w:name w:val="heading 2"/>
    <w:basedOn w:val="1"/>
    <w:next w:val="1"/>
    <w:link w:val="37"/>
    <w:unhideWhenUsed/>
    <w:qFormat/>
    <w:uiPriority w:val="9"/>
    <w:pPr>
      <w:keepNext/>
      <w:keepLines/>
      <w:numPr>
        <w:ilvl w:val="1"/>
        <w:numId w:val="1"/>
      </w:numPr>
      <w:spacing w:before="100" w:beforeLines="100" w:after="50" w:afterLines="50" w:line="240" w:lineRule="auto"/>
      <w:outlineLvl w:val="1"/>
    </w:pPr>
    <w:rPr>
      <w:rFonts w:eastAsia="黑体" w:cstheme="majorBidi"/>
      <w:b/>
      <w:bCs/>
      <w:sz w:val="30"/>
      <w:szCs w:val="32"/>
    </w:rPr>
  </w:style>
  <w:style w:type="paragraph" w:styleId="4">
    <w:name w:val="heading 3"/>
    <w:basedOn w:val="1"/>
    <w:next w:val="1"/>
    <w:link w:val="38"/>
    <w:unhideWhenUsed/>
    <w:qFormat/>
    <w:uiPriority w:val="9"/>
    <w:pPr>
      <w:keepNext/>
      <w:keepLines/>
      <w:numPr>
        <w:ilvl w:val="2"/>
        <w:numId w:val="1"/>
      </w:numPr>
      <w:spacing w:before="100" w:beforeLines="100" w:after="50" w:afterLines="50" w:line="240" w:lineRule="auto"/>
      <w:outlineLvl w:val="2"/>
    </w:pPr>
    <w:rPr>
      <w:rFonts w:eastAsia="黑体"/>
      <w:b/>
      <w:bCs/>
      <w:sz w:val="28"/>
      <w:szCs w:val="32"/>
    </w:rPr>
  </w:style>
  <w:style w:type="paragraph" w:styleId="5">
    <w:name w:val="heading 4"/>
    <w:basedOn w:val="1"/>
    <w:next w:val="1"/>
    <w:link w:val="39"/>
    <w:unhideWhenUsed/>
    <w:qFormat/>
    <w:uiPriority w:val="9"/>
    <w:pPr>
      <w:keepNext/>
      <w:keepLines/>
      <w:numPr>
        <w:ilvl w:val="3"/>
        <w:numId w:val="1"/>
      </w:numPr>
      <w:outlineLvl w:val="3"/>
    </w:pPr>
    <w:rPr>
      <w:rFonts w:eastAsia="宋体" w:cstheme="majorBidi"/>
      <w:b/>
      <w:bCs/>
      <w:szCs w:val="28"/>
    </w:rPr>
  </w:style>
  <w:style w:type="paragraph" w:styleId="6">
    <w:name w:val="heading 5"/>
    <w:basedOn w:val="1"/>
    <w:next w:val="1"/>
    <w:link w:val="40"/>
    <w:unhideWhenUsed/>
    <w:qFormat/>
    <w:uiPriority w:val="9"/>
    <w:pPr>
      <w:keepNext/>
      <w:keepLines/>
      <w:numPr>
        <w:ilvl w:val="4"/>
        <w:numId w:val="1"/>
      </w:numPr>
      <w:outlineLvl w:val="4"/>
    </w:pPr>
    <w:rPr>
      <w:b/>
      <w:bCs/>
      <w:szCs w:val="28"/>
    </w:rPr>
  </w:style>
  <w:style w:type="paragraph" w:styleId="7">
    <w:name w:val="heading 6"/>
    <w:basedOn w:val="1"/>
    <w:next w:val="1"/>
    <w:link w:val="41"/>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Cs w:val="24"/>
    </w:rPr>
  </w:style>
  <w:style w:type="paragraph" w:styleId="8">
    <w:name w:val="heading 7"/>
    <w:basedOn w:val="1"/>
    <w:next w:val="1"/>
    <w:link w:val="42"/>
    <w:unhideWhenUsed/>
    <w:qFormat/>
    <w:uiPriority w:val="9"/>
    <w:pPr>
      <w:keepNext/>
      <w:keepLines/>
      <w:numPr>
        <w:ilvl w:val="6"/>
        <w:numId w:val="1"/>
      </w:numPr>
      <w:spacing w:before="240" w:after="64" w:line="320" w:lineRule="auto"/>
      <w:outlineLvl w:val="6"/>
    </w:pPr>
    <w:rPr>
      <w:b/>
      <w:bCs/>
      <w:szCs w:val="24"/>
    </w:rPr>
  </w:style>
  <w:style w:type="paragraph" w:styleId="9">
    <w:name w:val="heading 8"/>
    <w:basedOn w:val="1"/>
    <w:next w:val="1"/>
    <w:link w:val="43"/>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Cs w:val="24"/>
    </w:rPr>
  </w:style>
  <w:style w:type="paragraph" w:styleId="10">
    <w:name w:val="heading 9"/>
    <w:basedOn w:val="1"/>
    <w:next w:val="1"/>
    <w:link w:val="44"/>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9">
    <w:name w:val="Default Paragraph Font"/>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pPr>
  </w:style>
  <w:style w:type="paragraph" w:styleId="12">
    <w:name w:val="caption"/>
    <w:basedOn w:val="1"/>
    <w:next w:val="1"/>
    <w:unhideWhenUsed/>
    <w:qFormat/>
    <w:uiPriority w:val="35"/>
    <w:pPr>
      <w:spacing w:before="50" w:beforeLines="50" w:after="50" w:afterLines="50"/>
      <w:jc w:val="center"/>
    </w:pPr>
    <w:rPr>
      <w:rFonts w:eastAsia="宋体" w:cstheme="majorBidi"/>
      <w:sz w:val="21"/>
      <w:szCs w:val="20"/>
    </w:rPr>
  </w:style>
  <w:style w:type="paragraph" w:styleId="13">
    <w:name w:val="Document Map"/>
    <w:basedOn w:val="1"/>
    <w:link w:val="48"/>
    <w:semiHidden/>
    <w:unhideWhenUsed/>
    <w:qFormat/>
    <w:uiPriority w:val="99"/>
    <w:rPr>
      <w:rFonts w:cs="Times New Roman"/>
      <w:szCs w:val="24"/>
    </w:rPr>
  </w:style>
  <w:style w:type="paragraph" w:styleId="14">
    <w:name w:val="annotation text"/>
    <w:basedOn w:val="1"/>
    <w:link w:val="62"/>
    <w:semiHidden/>
    <w:unhideWhenUsed/>
    <w:qFormat/>
    <w:uiPriority w:val="99"/>
    <w:pPr>
      <w:jc w:val="left"/>
    </w:pPr>
  </w:style>
  <w:style w:type="paragraph" w:styleId="15">
    <w:name w:val="Body Text"/>
    <w:basedOn w:val="1"/>
    <w:next w:val="16"/>
    <w:link w:val="60"/>
    <w:qFormat/>
    <w:uiPriority w:val="0"/>
    <w:pPr>
      <w:spacing w:after="120"/>
    </w:pPr>
    <w:rPr>
      <w:sz w:val="28"/>
    </w:rPr>
  </w:style>
  <w:style w:type="paragraph" w:styleId="16">
    <w:name w:val="Body Text First Indent"/>
    <w:basedOn w:val="1"/>
    <w:qFormat/>
    <w:uiPriority w:val="0"/>
    <w:pPr>
      <w:ind w:firstLine="420"/>
    </w:pPr>
    <w:rPr>
      <w:sz w:val="21"/>
      <w:szCs w:val="20"/>
    </w:rPr>
  </w:style>
  <w:style w:type="paragraph" w:styleId="17">
    <w:name w:val="toc 3"/>
    <w:basedOn w:val="1"/>
    <w:next w:val="1"/>
    <w:unhideWhenUsed/>
    <w:qFormat/>
    <w:uiPriority w:val="39"/>
    <w:pPr>
      <w:spacing w:before="81" w:after="81"/>
      <w:ind w:left="960" w:leftChars="400"/>
    </w:pPr>
  </w:style>
  <w:style w:type="paragraph" w:styleId="18">
    <w:name w:val="Plain Text"/>
    <w:basedOn w:val="1"/>
    <w:next w:val="1"/>
    <w:qFormat/>
    <w:uiPriority w:val="0"/>
    <w:pPr>
      <w:numPr>
        <w:ilvl w:val="0"/>
        <w:numId w:val="2"/>
      </w:numPr>
      <w:spacing w:before="156" w:beforeLines="50" w:after="156" w:afterLines="50" w:line="400" w:lineRule="exact"/>
    </w:pPr>
    <w:rPr>
      <w:rFonts w:hAnsi="Courier New"/>
    </w:rPr>
  </w:style>
  <w:style w:type="paragraph" w:styleId="19">
    <w:name w:val="Balloon Text"/>
    <w:basedOn w:val="1"/>
    <w:link w:val="46"/>
    <w:semiHidden/>
    <w:unhideWhenUsed/>
    <w:qFormat/>
    <w:uiPriority w:val="99"/>
    <w:rPr>
      <w:sz w:val="18"/>
      <w:szCs w:val="18"/>
    </w:rPr>
  </w:style>
  <w:style w:type="paragraph" w:styleId="20">
    <w:name w:val="footer"/>
    <w:basedOn w:val="1"/>
    <w:link w:val="35"/>
    <w:unhideWhenUsed/>
    <w:qFormat/>
    <w:uiPriority w:val="99"/>
    <w:pPr>
      <w:tabs>
        <w:tab w:val="center" w:pos="4153"/>
        <w:tab w:val="right" w:pos="8306"/>
      </w:tabs>
      <w:jc w:val="left"/>
    </w:pPr>
    <w:rPr>
      <w:sz w:val="18"/>
      <w:szCs w:val="18"/>
    </w:rPr>
  </w:style>
  <w:style w:type="paragraph" w:styleId="21">
    <w:name w:val="header"/>
    <w:basedOn w:val="1"/>
    <w:link w:val="34"/>
    <w:unhideWhenUsed/>
    <w:qFormat/>
    <w:uiPriority w:val="99"/>
    <w:pPr>
      <w:pBdr>
        <w:bottom w:val="single" w:color="auto" w:sz="6" w:space="1"/>
      </w:pBdr>
      <w:tabs>
        <w:tab w:val="center" w:pos="4153"/>
        <w:tab w:val="right" w:pos="8306"/>
      </w:tabs>
      <w:jc w:val="center"/>
    </w:pPr>
    <w:rPr>
      <w:sz w:val="18"/>
      <w:szCs w:val="18"/>
    </w:rPr>
  </w:style>
  <w:style w:type="paragraph" w:styleId="22">
    <w:name w:val="toc 1"/>
    <w:basedOn w:val="1"/>
    <w:next w:val="1"/>
    <w:unhideWhenUsed/>
    <w:qFormat/>
    <w:uiPriority w:val="39"/>
    <w:pPr>
      <w:spacing w:before="81" w:after="81"/>
    </w:pPr>
    <w:rPr>
      <w:b/>
    </w:rPr>
  </w:style>
  <w:style w:type="paragraph" w:styleId="23">
    <w:name w:val="Subtitle"/>
    <w:basedOn w:val="1"/>
    <w:next w:val="1"/>
    <w:link w:val="53"/>
    <w:qFormat/>
    <w:uiPriority w:val="11"/>
    <w:pPr>
      <w:spacing w:before="240" w:after="60" w:line="312" w:lineRule="auto"/>
      <w:jc w:val="center"/>
      <w:outlineLvl w:val="1"/>
    </w:pPr>
    <w:rPr>
      <w:rFonts w:asciiTheme="minorHAnsi" w:hAnsiTheme="minorHAnsi"/>
      <w:b/>
      <w:bCs/>
      <w:kern w:val="28"/>
      <w:sz w:val="32"/>
      <w:szCs w:val="32"/>
    </w:rPr>
  </w:style>
  <w:style w:type="paragraph" w:styleId="24">
    <w:name w:val="toc 2"/>
    <w:basedOn w:val="1"/>
    <w:next w:val="1"/>
    <w:unhideWhenUsed/>
    <w:qFormat/>
    <w:uiPriority w:val="39"/>
    <w:pPr>
      <w:ind w:left="200" w:leftChars="200"/>
    </w:pPr>
  </w:style>
  <w:style w:type="paragraph" w:styleId="25">
    <w:name w:val="Body Text 2"/>
    <w:basedOn w:val="1"/>
    <w:qFormat/>
    <w:uiPriority w:val="0"/>
    <w:rPr>
      <w:rFonts w:ascii="幼圆" w:eastAsia="幼圆"/>
      <w:u w:val="single"/>
    </w:rPr>
  </w:style>
  <w:style w:type="paragraph" w:styleId="26">
    <w:name w:val="Title"/>
    <w:basedOn w:val="1"/>
    <w:next w:val="1"/>
    <w:link w:val="52"/>
    <w:qFormat/>
    <w:uiPriority w:val="10"/>
    <w:pPr>
      <w:spacing w:before="240" w:after="60"/>
      <w:jc w:val="center"/>
      <w:outlineLvl w:val="0"/>
    </w:pPr>
    <w:rPr>
      <w:rFonts w:asciiTheme="majorHAnsi" w:hAnsiTheme="majorHAnsi" w:eastAsiaTheme="majorEastAsia" w:cstheme="majorBidi"/>
      <w:b/>
      <w:bCs/>
      <w:sz w:val="32"/>
      <w:szCs w:val="32"/>
    </w:rPr>
  </w:style>
  <w:style w:type="paragraph" w:styleId="27">
    <w:name w:val="annotation subject"/>
    <w:basedOn w:val="14"/>
    <w:next w:val="14"/>
    <w:link w:val="63"/>
    <w:semiHidden/>
    <w:unhideWhenUsed/>
    <w:qFormat/>
    <w:uiPriority w:val="99"/>
    <w:rPr>
      <w:b/>
      <w:bCs/>
    </w:rPr>
  </w:style>
  <w:style w:type="character" w:styleId="30">
    <w:name w:val="page number"/>
    <w:basedOn w:val="29"/>
    <w:qFormat/>
    <w:uiPriority w:val="0"/>
  </w:style>
  <w:style w:type="character" w:styleId="31">
    <w:name w:val="Hyperlink"/>
    <w:basedOn w:val="29"/>
    <w:unhideWhenUsed/>
    <w:qFormat/>
    <w:uiPriority w:val="99"/>
    <w:rPr>
      <w:color w:val="0000FF" w:themeColor="hyperlink"/>
      <w:u w:val="single"/>
      <w14:textFill>
        <w14:solidFill>
          <w14:schemeClr w14:val="hlink"/>
        </w14:solidFill>
      </w14:textFill>
    </w:rPr>
  </w:style>
  <w:style w:type="character" w:styleId="32">
    <w:name w:val="annotation reference"/>
    <w:basedOn w:val="29"/>
    <w:semiHidden/>
    <w:unhideWhenUsed/>
    <w:qFormat/>
    <w:uiPriority w:val="99"/>
    <w:rPr>
      <w:sz w:val="21"/>
      <w:szCs w:val="21"/>
    </w:rPr>
  </w:style>
  <w:style w:type="paragraph" w:customStyle="1" w:styleId="33">
    <w:name w:val="表格文字"/>
    <w:basedOn w:val="18"/>
    <w:next w:val="15"/>
    <w:qFormat/>
    <w:uiPriority w:val="0"/>
    <w:pPr>
      <w:spacing w:line="420" w:lineRule="atLeast"/>
      <w:jc w:val="left"/>
      <w:textAlignment w:val="baseline"/>
    </w:pPr>
    <w:rPr>
      <w:rFonts w:hAnsi="Times New Roman"/>
      <w:kern w:val="0"/>
    </w:rPr>
  </w:style>
  <w:style w:type="character" w:customStyle="1" w:styleId="34">
    <w:name w:val="页眉 字符"/>
    <w:basedOn w:val="29"/>
    <w:link w:val="21"/>
    <w:qFormat/>
    <w:uiPriority w:val="99"/>
    <w:rPr>
      <w:sz w:val="18"/>
      <w:szCs w:val="18"/>
    </w:rPr>
  </w:style>
  <w:style w:type="character" w:customStyle="1" w:styleId="35">
    <w:name w:val="页脚 字符"/>
    <w:basedOn w:val="29"/>
    <w:link w:val="20"/>
    <w:qFormat/>
    <w:uiPriority w:val="99"/>
    <w:rPr>
      <w:sz w:val="18"/>
      <w:szCs w:val="18"/>
    </w:rPr>
  </w:style>
  <w:style w:type="character" w:customStyle="1" w:styleId="36">
    <w:name w:val="标题 1 字符"/>
    <w:basedOn w:val="29"/>
    <w:link w:val="2"/>
    <w:qFormat/>
    <w:uiPriority w:val="9"/>
    <w:rPr>
      <w:rFonts w:ascii="Times New Roman" w:hAnsi="Times New Roman" w:eastAsia="黑体"/>
      <w:b/>
      <w:bCs/>
      <w:kern w:val="44"/>
      <w:sz w:val="32"/>
      <w:szCs w:val="44"/>
    </w:rPr>
  </w:style>
  <w:style w:type="character" w:customStyle="1" w:styleId="37">
    <w:name w:val="标题 2 字符"/>
    <w:basedOn w:val="29"/>
    <w:link w:val="3"/>
    <w:qFormat/>
    <w:uiPriority w:val="9"/>
    <w:rPr>
      <w:rFonts w:ascii="Times New Roman" w:hAnsi="Times New Roman" w:eastAsia="黑体" w:cstheme="majorBidi"/>
      <w:b/>
      <w:bCs/>
      <w:sz w:val="30"/>
      <w:szCs w:val="32"/>
    </w:rPr>
  </w:style>
  <w:style w:type="character" w:customStyle="1" w:styleId="38">
    <w:name w:val="标题 3 字符"/>
    <w:basedOn w:val="29"/>
    <w:link w:val="4"/>
    <w:qFormat/>
    <w:uiPriority w:val="9"/>
    <w:rPr>
      <w:rFonts w:ascii="Times New Roman" w:hAnsi="Times New Roman" w:eastAsia="黑体"/>
      <w:b/>
      <w:bCs/>
      <w:sz w:val="28"/>
      <w:szCs w:val="32"/>
    </w:rPr>
  </w:style>
  <w:style w:type="character" w:customStyle="1" w:styleId="39">
    <w:name w:val="标题 4 字符"/>
    <w:basedOn w:val="29"/>
    <w:link w:val="5"/>
    <w:qFormat/>
    <w:uiPriority w:val="9"/>
    <w:rPr>
      <w:rFonts w:ascii="Times New Roman" w:hAnsi="Times New Roman" w:eastAsia="宋体" w:cstheme="majorBidi"/>
      <w:b/>
      <w:bCs/>
      <w:sz w:val="24"/>
      <w:szCs w:val="28"/>
    </w:rPr>
  </w:style>
  <w:style w:type="character" w:customStyle="1" w:styleId="40">
    <w:name w:val="标题 5 字符"/>
    <w:basedOn w:val="29"/>
    <w:link w:val="6"/>
    <w:qFormat/>
    <w:uiPriority w:val="9"/>
    <w:rPr>
      <w:rFonts w:ascii="Times New Roman" w:hAnsi="Times New Roman"/>
      <w:b/>
      <w:bCs/>
      <w:sz w:val="24"/>
      <w:szCs w:val="28"/>
    </w:rPr>
  </w:style>
  <w:style w:type="character" w:customStyle="1" w:styleId="41">
    <w:name w:val="标题 6 字符"/>
    <w:basedOn w:val="29"/>
    <w:link w:val="7"/>
    <w:qFormat/>
    <w:uiPriority w:val="9"/>
    <w:rPr>
      <w:rFonts w:asciiTheme="majorHAnsi" w:hAnsiTheme="majorHAnsi" w:eastAsiaTheme="majorEastAsia" w:cstheme="majorBidi"/>
      <w:b/>
      <w:bCs/>
      <w:sz w:val="24"/>
      <w:szCs w:val="24"/>
    </w:rPr>
  </w:style>
  <w:style w:type="character" w:customStyle="1" w:styleId="42">
    <w:name w:val="标题 7 字符"/>
    <w:basedOn w:val="29"/>
    <w:link w:val="8"/>
    <w:qFormat/>
    <w:uiPriority w:val="9"/>
    <w:rPr>
      <w:rFonts w:ascii="Times New Roman" w:hAnsi="Times New Roman"/>
      <w:b/>
      <w:bCs/>
      <w:sz w:val="24"/>
      <w:szCs w:val="24"/>
    </w:rPr>
  </w:style>
  <w:style w:type="character" w:customStyle="1" w:styleId="43">
    <w:name w:val="标题 8 字符"/>
    <w:basedOn w:val="29"/>
    <w:link w:val="9"/>
    <w:qFormat/>
    <w:uiPriority w:val="9"/>
    <w:rPr>
      <w:rFonts w:asciiTheme="majorHAnsi" w:hAnsiTheme="majorHAnsi" w:eastAsiaTheme="majorEastAsia" w:cstheme="majorBidi"/>
      <w:sz w:val="24"/>
      <w:szCs w:val="24"/>
    </w:rPr>
  </w:style>
  <w:style w:type="character" w:customStyle="1" w:styleId="44">
    <w:name w:val="标题 9 字符"/>
    <w:basedOn w:val="29"/>
    <w:link w:val="10"/>
    <w:qFormat/>
    <w:uiPriority w:val="9"/>
    <w:rPr>
      <w:rFonts w:asciiTheme="majorHAnsi" w:hAnsiTheme="majorHAnsi" w:eastAsiaTheme="majorEastAsia" w:cstheme="majorBidi"/>
      <w:sz w:val="24"/>
      <w:szCs w:val="21"/>
    </w:rPr>
  </w:style>
  <w:style w:type="paragraph" w:styleId="45">
    <w:name w:val="List Paragraph"/>
    <w:basedOn w:val="1"/>
    <w:link w:val="61"/>
    <w:qFormat/>
    <w:uiPriority w:val="34"/>
    <w:pPr>
      <w:ind w:firstLine="420"/>
    </w:pPr>
  </w:style>
  <w:style w:type="character" w:customStyle="1" w:styleId="46">
    <w:name w:val="批注框文本 字符"/>
    <w:basedOn w:val="29"/>
    <w:link w:val="19"/>
    <w:semiHidden/>
    <w:qFormat/>
    <w:uiPriority w:val="99"/>
    <w:rPr>
      <w:sz w:val="18"/>
      <w:szCs w:val="18"/>
    </w:rPr>
  </w:style>
  <w:style w:type="paragraph" w:customStyle="1" w:styleId="47">
    <w:name w:val="正文（首行缩进）"/>
    <w:basedOn w:val="1"/>
    <w:qFormat/>
    <w:uiPriority w:val="0"/>
    <w:pPr>
      <w:spacing w:before="0" w:beforeLines="0" w:after="0" w:afterLines="0"/>
      <w:ind w:firstLine="480"/>
    </w:pPr>
    <w:rPr>
      <w:rFonts w:cs="Times New Roman"/>
      <w:bCs/>
      <w:szCs w:val="24"/>
    </w:rPr>
  </w:style>
  <w:style w:type="character" w:customStyle="1" w:styleId="48">
    <w:name w:val="文档结构图 字符"/>
    <w:basedOn w:val="29"/>
    <w:link w:val="13"/>
    <w:semiHidden/>
    <w:qFormat/>
    <w:uiPriority w:val="99"/>
    <w:rPr>
      <w:rFonts w:ascii="Times New Roman" w:hAnsi="Times New Roman" w:cs="Times New Roman"/>
      <w:sz w:val="24"/>
      <w:szCs w:val="24"/>
    </w:rPr>
  </w:style>
  <w:style w:type="paragraph" w:customStyle="1" w:styleId="49">
    <w:name w:val="TOC 标题1"/>
    <w:basedOn w:val="2"/>
    <w:next w:val="1"/>
    <w:unhideWhenUsed/>
    <w:qFormat/>
    <w:uiPriority w:val="39"/>
    <w:pPr>
      <w:widowControl/>
      <w:adjustRightInd/>
      <w:snapToGrid/>
      <w:spacing w:before="240" w:beforeLines="0" w:after="0" w:afterLines="0" w:line="259" w:lineRule="auto"/>
      <w:jc w:val="left"/>
      <w:outlineLvl w:val="9"/>
    </w:pPr>
    <w:rPr>
      <w:rFonts w:asciiTheme="majorHAnsi" w:hAnsiTheme="majorHAnsi" w:eastAsiaTheme="majorEastAsia" w:cstheme="majorBidi"/>
      <w:b w:val="0"/>
      <w:bCs w:val="0"/>
      <w:color w:val="376092" w:themeColor="accent1" w:themeShade="BF"/>
      <w:kern w:val="0"/>
      <w:szCs w:val="32"/>
    </w:rPr>
  </w:style>
  <w:style w:type="character" w:customStyle="1" w:styleId="50">
    <w:name w:val="页脚 Char"/>
    <w:qFormat/>
    <w:uiPriority w:val="99"/>
    <w:rPr>
      <w:kern w:val="2"/>
      <w:sz w:val="18"/>
      <w:szCs w:val="18"/>
    </w:rPr>
  </w:style>
  <w:style w:type="paragraph" w:styleId="51">
    <w:name w:val="No Spacing"/>
    <w:qFormat/>
    <w:uiPriority w:val="1"/>
    <w:pPr>
      <w:widowControl w:val="0"/>
      <w:adjustRightInd w:val="0"/>
      <w:snapToGrid w:val="0"/>
      <w:spacing w:beforeLines="25" w:afterLines="25"/>
      <w:jc w:val="both"/>
    </w:pPr>
    <w:rPr>
      <w:rFonts w:ascii="Times New Roman" w:hAnsi="Times New Roman" w:eastAsiaTheme="minorEastAsia" w:cstheme="minorBidi"/>
      <w:kern w:val="2"/>
      <w:sz w:val="24"/>
      <w:szCs w:val="22"/>
      <w:lang w:val="en-US" w:eastAsia="zh-CN" w:bidi="ar-SA"/>
    </w:rPr>
  </w:style>
  <w:style w:type="character" w:customStyle="1" w:styleId="52">
    <w:name w:val="标题 字符"/>
    <w:basedOn w:val="29"/>
    <w:link w:val="26"/>
    <w:qFormat/>
    <w:uiPriority w:val="10"/>
    <w:rPr>
      <w:rFonts w:asciiTheme="majorHAnsi" w:hAnsiTheme="majorHAnsi" w:eastAsiaTheme="majorEastAsia" w:cstheme="majorBidi"/>
      <w:b/>
      <w:bCs/>
      <w:sz w:val="32"/>
      <w:szCs w:val="32"/>
    </w:rPr>
  </w:style>
  <w:style w:type="character" w:customStyle="1" w:styleId="53">
    <w:name w:val="副标题 字符"/>
    <w:basedOn w:val="29"/>
    <w:link w:val="23"/>
    <w:qFormat/>
    <w:uiPriority w:val="11"/>
    <w:rPr>
      <w:b/>
      <w:bCs/>
      <w:kern w:val="28"/>
      <w:sz w:val="32"/>
      <w:szCs w:val="32"/>
    </w:rPr>
  </w:style>
  <w:style w:type="character" w:customStyle="1" w:styleId="54">
    <w:name w:val="不明显参考1"/>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55">
    <w:name w:val="明显参考1"/>
    <w:basedOn w:val="29"/>
    <w:qFormat/>
    <w:uiPriority w:val="32"/>
    <w:rPr>
      <w:b/>
      <w:bCs/>
      <w:smallCaps/>
      <w:color w:val="4F81BD" w:themeColor="accent1"/>
      <w:spacing w:val="5"/>
      <w14:textFill>
        <w14:solidFill>
          <w14:schemeClr w14:val="accent1"/>
        </w14:solidFill>
      </w14:textFill>
    </w:rPr>
  </w:style>
  <w:style w:type="character" w:customStyle="1" w:styleId="56">
    <w:name w:val="书籍标题1"/>
    <w:basedOn w:val="29"/>
    <w:qFormat/>
    <w:uiPriority w:val="33"/>
    <w:rPr>
      <w:b/>
      <w:bCs/>
      <w:i/>
      <w:iCs/>
      <w:spacing w:val="5"/>
    </w:rPr>
  </w:style>
  <w:style w:type="paragraph" w:customStyle="1" w:styleId="57">
    <w:name w:val="图注样式"/>
    <w:next w:val="1"/>
    <w:qFormat/>
    <w:uiPriority w:val="0"/>
    <w:pPr>
      <w:numPr>
        <w:ilvl w:val="6"/>
        <w:numId w:val="3"/>
      </w:numPr>
      <w:spacing w:after="156"/>
      <w:ind w:left="1020" w:leftChars="100" w:right="100" w:rightChars="100"/>
      <w:jc w:val="center"/>
    </w:pPr>
    <w:rPr>
      <w:rFonts w:ascii="Arial" w:hAnsi="Arial" w:cs="Arial" w:eastAsiaTheme="minorEastAsia"/>
      <w:sz w:val="21"/>
      <w:szCs w:val="21"/>
      <w:lang w:val="en-US" w:eastAsia="zh-CN" w:bidi="ar-SA"/>
    </w:rPr>
  </w:style>
  <w:style w:type="paragraph" w:customStyle="1" w:styleId="58">
    <w:name w:val="*正文"/>
    <w:basedOn w:val="59"/>
    <w:qFormat/>
    <w:uiPriority w:val="0"/>
    <w:pPr>
      <w:ind w:firstLine="480"/>
    </w:pPr>
    <w:rPr>
      <w:rFonts w:ascii="宋体" w:hAnsi="宋体"/>
      <w:szCs w:val="24"/>
      <w:lang w:val="zh-CN"/>
    </w:rPr>
  </w:style>
  <w:style w:type="paragraph" w:customStyle="1" w:styleId="59">
    <w:name w:val="样式 正文缩进 + 首行缩进:  2 字符"/>
    <w:basedOn w:val="11"/>
    <w:qFormat/>
    <w:uiPriority w:val="0"/>
    <w:pPr>
      <w:ind w:firstLine="200"/>
    </w:pPr>
    <w:rPr>
      <w:rFonts w:cs="宋体"/>
    </w:rPr>
  </w:style>
  <w:style w:type="character" w:customStyle="1" w:styleId="60">
    <w:name w:val="正文文本 字符"/>
    <w:link w:val="15"/>
    <w:qFormat/>
    <w:uiPriority w:val="0"/>
    <w:rPr>
      <w:sz w:val="28"/>
    </w:rPr>
  </w:style>
  <w:style w:type="character" w:customStyle="1" w:styleId="61">
    <w:name w:val="列表段落 字符"/>
    <w:link w:val="45"/>
    <w:qFormat/>
    <w:uiPriority w:val="34"/>
    <w:rPr>
      <w:rFonts w:eastAsiaTheme="minorEastAsia" w:cstheme="minorBidi"/>
      <w:kern w:val="2"/>
      <w:sz w:val="24"/>
      <w:szCs w:val="22"/>
    </w:rPr>
  </w:style>
  <w:style w:type="character" w:customStyle="1" w:styleId="62">
    <w:name w:val="批注文字 字符"/>
    <w:basedOn w:val="29"/>
    <w:link w:val="14"/>
    <w:semiHidden/>
    <w:qFormat/>
    <w:uiPriority w:val="99"/>
    <w:rPr>
      <w:rFonts w:eastAsiaTheme="minorEastAsia" w:cstheme="minorBidi"/>
      <w:kern w:val="2"/>
      <w:sz w:val="24"/>
      <w:szCs w:val="22"/>
    </w:rPr>
  </w:style>
  <w:style w:type="character" w:customStyle="1" w:styleId="63">
    <w:name w:val="批注主题 字符"/>
    <w:basedOn w:val="62"/>
    <w:link w:val="27"/>
    <w:semiHidden/>
    <w:qFormat/>
    <w:uiPriority w:val="99"/>
    <w:rPr>
      <w:rFonts w:eastAsiaTheme="minorEastAsia" w:cstheme="minorBidi"/>
      <w:b/>
      <w:bCs/>
      <w:kern w:val="2"/>
      <w:sz w:val="24"/>
      <w:szCs w:val="22"/>
    </w:rPr>
  </w:style>
  <w:style w:type="paragraph" w:customStyle="1" w:styleId="64">
    <w:name w:val="L1"/>
    <w:basedOn w:val="2"/>
    <w:qFormat/>
    <w:uiPriority w:val="0"/>
    <w:pPr>
      <w:numPr>
        <w:numId w:val="0"/>
      </w:numPr>
      <w:tabs>
        <w:tab w:val="left" w:pos="360"/>
      </w:tabs>
      <w:adjustRightInd/>
      <w:snapToGrid/>
      <w:spacing w:before="240" w:beforeLines="0" w:after="240" w:afterLines="0" w:line="360" w:lineRule="auto"/>
      <w:ind w:left="1" w:hanging="1"/>
    </w:pPr>
    <w:rPr>
      <w:rFonts w:ascii="宋体" w:hAnsi="宋体" w:eastAsia="宋体" w:cs="Calibri"/>
      <w:color w:val="000000"/>
      <w:kern w:val="0"/>
      <w:sz w:val="24"/>
      <w:szCs w:val="24"/>
    </w:rPr>
  </w:style>
  <w:style w:type="paragraph" w:customStyle="1" w:styleId="65">
    <w:name w:val="L2"/>
    <w:basedOn w:val="3"/>
    <w:qFormat/>
    <w:uiPriority w:val="0"/>
    <w:pPr>
      <w:widowControl/>
      <w:numPr>
        <w:ilvl w:val="0"/>
        <w:numId w:val="0"/>
      </w:numPr>
      <w:tabs>
        <w:tab w:val="left" w:pos="360"/>
      </w:tabs>
      <w:adjustRightInd/>
      <w:snapToGrid/>
      <w:spacing w:before="240" w:beforeLines="0" w:after="240" w:afterLines="0" w:line="360" w:lineRule="auto"/>
      <w:ind w:left="786" w:leftChars="100" w:right="210" w:rightChars="100" w:hanging="576"/>
    </w:pPr>
    <w:rPr>
      <w:rFonts w:ascii="宋体" w:hAnsi="宋体" w:eastAsia="宋体" w:cs="SimSun-ExtB"/>
      <w:color w:val="000000"/>
      <w:kern w:val="0"/>
      <w:sz w:val="24"/>
      <w:szCs w:val="24"/>
    </w:rPr>
  </w:style>
  <w:style w:type="paragraph" w:customStyle="1" w:styleId="66">
    <w:name w:val="L3"/>
    <w:basedOn w:val="4"/>
    <w:qFormat/>
    <w:uiPriority w:val="0"/>
    <w:pPr>
      <w:widowControl/>
      <w:numPr>
        <w:ilvl w:val="0"/>
        <w:numId w:val="0"/>
      </w:numPr>
      <w:tabs>
        <w:tab w:val="left" w:pos="360"/>
      </w:tabs>
      <w:adjustRightInd/>
      <w:snapToGrid/>
      <w:spacing w:before="260" w:beforeLines="0" w:after="260" w:afterLines="0" w:line="360" w:lineRule="auto"/>
      <w:ind w:left="930" w:leftChars="100" w:right="210" w:rightChars="100" w:hanging="72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1716</Words>
  <Characters>1975</Characters>
  <Lines>53</Lines>
  <Paragraphs>15</Paragraphs>
  <TotalTime>8</TotalTime>
  <ScaleCrop>false</ScaleCrop>
  <LinksUpToDate>false</LinksUpToDate>
  <CharactersWithSpaces>1978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2022-12-09T00:50:00Z</dcterms:created>
  <dc:creator>admin</dc:creator>
  <cp:lastModifiedBy>饶增红</cp:lastModifiedBy>
  <cp:lastPrinted>2017-04-10T01:06:00Z</cp:lastPrinted>
  <dcterms:modified xsi:type="dcterms:W3CDTF">2026-10-13T03:12:05Z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F0AAD88E575765C2CA70BF6AC1B8B32D_43</vt:lpwstr>
  </property>
  <property fmtid="{D5CDD505-2E9C-101B-9397-08002B2CF9AE}" pid="4" name="KSOTemplateDocerSaveRecord">
    <vt:lpwstr>eyJoZGlkIjoiMmNiZDQ1ODI5MjFmMzZkM2Y0NTRkMjBmNDEzNmU1OTEiLCJ1c2VySWQiOiIxMDA2NzE0MzM5In0=</vt:lpwstr>
  </property>
</Properties>
</file>